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4833"/>
        <w:gridCol w:w="4023"/>
      </w:tblGrid>
      <w:tr w:rsidR="007D636E" w:rsidRPr="00D62F7E" w:rsidTr="00D62F7E">
        <w:tc>
          <w:tcPr>
            <w:tcW w:w="4833" w:type="dxa"/>
          </w:tcPr>
          <w:p w:rsidR="007D636E" w:rsidRPr="00D62F7E" w:rsidRDefault="007D636E" w:rsidP="00D62F7E">
            <w:pPr>
              <w:spacing w:after="0"/>
              <w:rPr>
                <w:rFonts w:ascii="Arial" w:hAnsi="Arial"/>
              </w:rPr>
            </w:pPr>
            <w:r w:rsidRPr="00D62F7E">
              <w:rPr>
                <w:rFonts w:ascii="Arial" w:hAnsi="Arial"/>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TN:logo/LETTERHEAD:NTN VERTICAL LOGO.jpg" style="width:44.25pt;height:89.25pt;visibility:visible">
                  <v:imagedata r:id="rId7" o:title=""/>
                </v:shape>
              </w:pict>
            </w:r>
          </w:p>
        </w:tc>
        <w:tc>
          <w:tcPr>
            <w:tcW w:w="4023" w:type="dxa"/>
          </w:tcPr>
          <w:p w:rsidR="007D636E" w:rsidRPr="00D62F7E" w:rsidRDefault="007D636E" w:rsidP="00D62F7E">
            <w:pPr>
              <w:spacing w:after="0"/>
              <w:jc w:val="right"/>
              <w:rPr>
                <w:rFonts w:ascii="Arial" w:hAnsi="Arial"/>
                <w:noProof/>
                <w:lang w:eastAsia="zh-CN"/>
              </w:rPr>
            </w:pPr>
            <w:r w:rsidRPr="00D62F7E">
              <w:rPr>
                <w:noProof/>
                <w:lang w:val="en-US"/>
              </w:rPr>
              <w:pict>
                <v:shape id="Picture 2" o:spid="_x0000_i1026" type="#_x0000_t75" alt="25_Reg" style="width:75pt;height:98.25pt;visibility:visible">
                  <v:imagedata r:id="rId8" o:title=""/>
                </v:shape>
              </w:pict>
            </w:r>
          </w:p>
        </w:tc>
      </w:tr>
    </w:tbl>
    <w:p w:rsidR="007D636E" w:rsidRPr="00265C55" w:rsidRDefault="007D636E">
      <w:pPr>
        <w:rPr>
          <w:rFonts w:ascii="Arial" w:hAnsi="Arial"/>
          <w:sz w:val="16"/>
          <w:szCs w:val="16"/>
        </w:rPr>
      </w:pPr>
    </w:p>
    <w:p w:rsidR="007D636E" w:rsidRPr="000B4A30" w:rsidRDefault="007D636E" w:rsidP="00BF5B7E">
      <w:pPr>
        <w:rPr>
          <w:rFonts w:ascii="Times New Roman" w:hAnsi="Times New Roman"/>
          <w:b w:val="0"/>
        </w:rPr>
      </w:pPr>
    </w:p>
    <w:p w:rsidR="007D636E" w:rsidRPr="000B4A30" w:rsidRDefault="007D636E" w:rsidP="00BF5B7E">
      <w:pPr>
        <w:rPr>
          <w:rFonts w:ascii="Times New Roman" w:hAnsi="Times New Roman"/>
          <w:b w:val="0"/>
        </w:rPr>
      </w:pPr>
      <w:r w:rsidRPr="000B4A30">
        <w:rPr>
          <w:rFonts w:ascii="Times New Roman" w:hAnsi="Times New Roman"/>
          <w:b w:val="0"/>
        </w:rPr>
        <w:t>Agvet Chemicals - Early Harvest and APVMA Reforms Team</w:t>
      </w:r>
      <w:r w:rsidRPr="000B4A30">
        <w:rPr>
          <w:rFonts w:ascii="Times New Roman" w:hAnsi="Times New Roman"/>
          <w:b w:val="0"/>
        </w:rPr>
        <w:br/>
        <w:t>Agricultural Productivity Division</w:t>
      </w:r>
      <w:r w:rsidRPr="000B4A30">
        <w:rPr>
          <w:rFonts w:ascii="Times New Roman" w:hAnsi="Times New Roman"/>
          <w:b w:val="0"/>
        </w:rPr>
        <w:br/>
        <w:t>Department of Agriculture, Fisheries and Forestry</w:t>
      </w:r>
      <w:r w:rsidRPr="000B4A30">
        <w:rPr>
          <w:rFonts w:ascii="Times New Roman" w:hAnsi="Times New Roman"/>
          <w:b w:val="0"/>
        </w:rPr>
        <w:br/>
        <w:t xml:space="preserve">GPO </w:t>
      </w:r>
      <w:smartTag w:uri="urn:schemas-microsoft-com:office:smarttags" w:element="address">
        <w:smartTag w:uri="urn:schemas-microsoft-com:office:smarttags" w:element="Street">
          <w:r w:rsidRPr="000B4A30">
            <w:rPr>
              <w:rFonts w:ascii="Times New Roman" w:hAnsi="Times New Roman"/>
              <w:b w:val="0"/>
            </w:rPr>
            <w:t>Box 858</w:t>
          </w:r>
        </w:smartTag>
        <w:r w:rsidRPr="000B4A30">
          <w:rPr>
            <w:rFonts w:ascii="Times New Roman" w:hAnsi="Times New Roman"/>
            <w:b w:val="0"/>
          </w:rPr>
          <w:br/>
        </w:r>
        <w:smartTag w:uri="urn:schemas-microsoft-com:office:smarttags" w:element="City">
          <w:r w:rsidRPr="000B4A30">
            <w:rPr>
              <w:rFonts w:ascii="Times New Roman" w:hAnsi="Times New Roman"/>
              <w:b w:val="0"/>
            </w:rPr>
            <w:t>Canberra</w:t>
          </w:r>
        </w:smartTag>
      </w:smartTag>
      <w:r w:rsidRPr="000B4A30">
        <w:rPr>
          <w:rFonts w:ascii="Times New Roman" w:hAnsi="Times New Roman"/>
          <w:b w:val="0"/>
        </w:rPr>
        <w:t>  ACT  2601</w:t>
      </w:r>
    </w:p>
    <w:p w:rsidR="007D636E" w:rsidRPr="00B015B2" w:rsidRDefault="007D636E" w:rsidP="00BF5B7E">
      <w:pPr>
        <w:rPr>
          <w:rFonts w:ascii="Times New Roman" w:hAnsi="Times New Roman"/>
        </w:rPr>
      </w:pPr>
      <w:r w:rsidRPr="00B015B2">
        <w:rPr>
          <w:rFonts w:ascii="Times New Roman" w:hAnsi="Times New Roman"/>
        </w:rPr>
        <w:t xml:space="preserve">By email: </w:t>
      </w:r>
      <w:hyperlink r:id="rId9" w:history="1">
        <w:r w:rsidRPr="00B015B2">
          <w:rPr>
            <w:rStyle w:val="Hyperlink"/>
            <w:rFonts w:ascii="Times New Roman" w:hAnsi="Times New Roman"/>
          </w:rPr>
          <w:t>agvetreform@daff.gov.au</w:t>
        </w:r>
      </w:hyperlink>
      <w:r w:rsidRPr="00B015B2">
        <w:rPr>
          <w:rFonts w:ascii="Times New Roman" w:hAnsi="Times New Roman"/>
        </w:rPr>
        <w:br/>
      </w:r>
    </w:p>
    <w:p w:rsidR="007D636E" w:rsidRDefault="007D636E" w:rsidP="00BF5B7E">
      <w:pPr>
        <w:rPr>
          <w:rFonts w:ascii="Times New Roman" w:hAnsi="Times New Roman"/>
          <w:b w:val="0"/>
        </w:rPr>
      </w:pPr>
      <w:r>
        <w:rPr>
          <w:rFonts w:ascii="Times New Roman" w:hAnsi="Times New Roman"/>
          <w:b w:val="0"/>
        </w:rPr>
        <w:t>29 February 2012</w:t>
      </w:r>
    </w:p>
    <w:p w:rsidR="007D636E" w:rsidRPr="000170B1" w:rsidRDefault="007D636E" w:rsidP="00BF5B7E">
      <w:pPr>
        <w:rPr>
          <w:rFonts w:ascii="Times New Roman" w:hAnsi="Times New Roman"/>
        </w:rPr>
      </w:pPr>
    </w:p>
    <w:p w:rsidR="007D636E" w:rsidRPr="000170B1" w:rsidRDefault="007D636E" w:rsidP="006A7A85">
      <w:pPr>
        <w:jc w:val="both"/>
        <w:rPr>
          <w:rFonts w:ascii="Times New Roman" w:hAnsi="Times New Roman"/>
        </w:rPr>
      </w:pPr>
      <w:r w:rsidRPr="000170B1">
        <w:rPr>
          <w:rFonts w:ascii="Times New Roman" w:hAnsi="Times New Roman"/>
        </w:rPr>
        <w:t>To the Agvet Chemicals –Early Harvest and APVMA Reform Team</w:t>
      </w:r>
    </w:p>
    <w:p w:rsidR="007D636E" w:rsidRDefault="007D636E" w:rsidP="006A7A85">
      <w:pPr>
        <w:jc w:val="both"/>
        <w:rPr>
          <w:rFonts w:ascii="Times New Roman" w:hAnsi="Times New Roman"/>
          <w:b w:val="0"/>
          <w:i/>
        </w:rPr>
      </w:pPr>
      <w:r>
        <w:rPr>
          <w:rFonts w:ascii="Times New Roman" w:hAnsi="Times New Roman"/>
          <w:b w:val="0"/>
        </w:rPr>
        <w:t xml:space="preserve">Thank you for the opportunity to comment on the Exposure Draft of the </w:t>
      </w:r>
      <w:r w:rsidRPr="009E04D5">
        <w:rPr>
          <w:rFonts w:ascii="Times New Roman" w:hAnsi="Times New Roman"/>
          <w:b w:val="0"/>
          <w:i/>
        </w:rPr>
        <w:t>Agricultural and Veterinary Chemicals Legislation Amendment Bill 2011.</w:t>
      </w:r>
    </w:p>
    <w:p w:rsidR="007D636E" w:rsidRDefault="007D636E" w:rsidP="006A7A85">
      <w:pPr>
        <w:jc w:val="both"/>
        <w:rPr>
          <w:rFonts w:ascii="Times New Roman" w:hAnsi="Times New Roman"/>
          <w:b w:val="0"/>
        </w:rPr>
      </w:pPr>
      <w:r>
        <w:rPr>
          <w:rFonts w:ascii="Times New Roman" w:hAnsi="Times New Roman"/>
          <w:b w:val="0"/>
        </w:rPr>
        <w:t xml:space="preserve">As you would be aware we have very serious concerns about the way agricultural and veterinary chemicals (agvet) chemicals are regulated under the Australian Pesticides and Veterinary Medicines Authority (APVMA). WWF is particularly concerned about the impacts of diuron and other pesticides on the </w:t>
      </w:r>
      <w:smartTag w:uri="urn:schemas-microsoft-com:office:smarttags" w:element="place">
        <w:r>
          <w:rPr>
            <w:rFonts w:ascii="Times New Roman" w:hAnsi="Times New Roman"/>
            <w:b w:val="0"/>
          </w:rPr>
          <w:t>Great Barrier Reef</w:t>
        </w:r>
      </w:smartTag>
      <w:r>
        <w:rPr>
          <w:rFonts w:ascii="Times New Roman" w:hAnsi="Times New Roman"/>
          <w:b w:val="0"/>
        </w:rPr>
        <w:t xml:space="preserve"> and the ongoing failure of the regulator to adequately take account of those impacts in its risk management of diuron and other pesticides.</w:t>
      </w:r>
    </w:p>
    <w:p w:rsidR="007D636E" w:rsidRDefault="007D636E" w:rsidP="006A7A85">
      <w:pPr>
        <w:jc w:val="both"/>
        <w:rPr>
          <w:rFonts w:ascii="Times New Roman" w:hAnsi="Times New Roman"/>
          <w:b w:val="0"/>
        </w:rPr>
      </w:pPr>
      <w:r>
        <w:rPr>
          <w:rFonts w:ascii="Times New Roman" w:hAnsi="Times New Roman"/>
          <w:b w:val="0"/>
        </w:rPr>
        <w:t>We have assessed the draft Bill for its delivery of ALP election commitments for the better regulation of chemicals as well as our initial response to the discussion paper that preceded the draft Bill. Please refer to the attached Table.</w:t>
      </w:r>
    </w:p>
    <w:p w:rsidR="007D636E" w:rsidRDefault="007D636E" w:rsidP="006A7A85">
      <w:pPr>
        <w:jc w:val="both"/>
        <w:rPr>
          <w:rFonts w:ascii="Times New Roman" w:hAnsi="Times New Roman"/>
          <w:b w:val="0"/>
        </w:rPr>
      </w:pPr>
      <w:r>
        <w:rPr>
          <w:rFonts w:ascii="Times New Roman" w:hAnsi="Times New Roman"/>
          <w:b w:val="0"/>
        </w:rPr>
        <w:t xml:space="preserve">While some of proposed reforms are welcome and will make a difference to the efficiency of the APVMA, overall our assessment is that the Bill fails to deliver on core election commitments. </w:t>
      </w:r>
    </w:p>
    <w:p w:rsidR="007D636E" w:rsidRDefault="007D636E" w:rsidP="006A7A85">
      <w:pPr>
        <w:jc w:val="both"/>
        <w:rPr>
          <w:rFonts w:ascii="Times New Roman" w:hAnsi="Times New Roman"/>
          <w:b w:val="0"/>
        </w:rPr>
      </w:pPr>
      <w:r>
        <w:rPr>
          <w:rFonts w:ascii="Times New Roman" w:hAnsi="Times New Roman"/>
          <w:b w:val="0"/>
        </w:rPr>
        <w:t>The Bill does not substantially change outcomes to ‘better protect human health and the environment’ and ‘deliver modern, cleaner, greener and safer chemicals’</w:t>
      </w:r>
      <w:r>
        <w:rPr>
          <w:rStyle w:val="FootnoteReference"/>
          <w:rFonts w:ascii="Times New Roman" w:hAnsi="Times New Roman"/>
          <w:b w:val="0"/>
        </w:rPr>
        <w:footnoteReference w:id="1"/>
      </w:r>
      <w:r>
        <w:rPr>
          <w:rFonts w:ascii="Times New Roman" w:hAnsi="Times New Roman"/>
          <w:b w:val="0"/>
        </w:rPr>
        <w:t>, which are our key tests.</w:t>
      </w:r>
    </w:p>
    <w:p w:rsidR="007D636E" w:rsidRDefault="007D636E" w:rsidP="006A7A85">
      <w:pPr>
        <w:jc w:val="both"/>
        <w:rPr>
          <w:rFonts w:ascii="Times New Roman" w:hAnsi="Times New Roman"/>
          <w:b w:val="0"/>
        </w:rPr>
      </w:pPr>
      <w:r>
        <w:rPr>
          <w:rFonts w:ascii="Times New Roman" w:hAnsi="Times New Roman"/>
          <w:b w:val="0"/>
        </w:rPr>
        <w:t>Areas where the legislation fails to meet the election commitments and our concerns include:</w:t>
      </w:r>
    </w:p>
    <w:p w:rsidR="007D636E" w:rsidRDefault="007D636E" w:rsidP="006A7A85">
      <w:pPr>
        <w:pStyle w:val="ListParagraph"/>
        <w:numPr>
          <w:ilvl w:val="0"/>
          <w:numId w:val="10"/>
        </w:numPr>
        <w:jc w:val="both"/>
        <w:rPr>
          <w:rFonts w:ascii="Times New Roman" w:hAnsi="Times New Roman"/>
          <w:b w:val="0"/>
        </w:rPr>
      </w:pPr>
      <w:r>
        <w:rPr>
          <w:rFonts w:ascii="Times New Roman" w:hAnsi="Times New Roman"/>
          <w:b w:val="0"/>
        </w:rPr>
        <w:t>No priority given to the better protection of human health and the environment in the Object of the Act – the Bill is more focussed on ‘cutting red tape’;</w:t>
      </w:r>
    </w:p>
    <w:p w:rsidR="007D636E" w:rsidRPr="0001023F" w:rsidRDefault="007D636E" w:rsidP="006A7A85">
      <w:pPr>
        <w:pStyle w:val="ListParagraph"/>
        <w:jc w:val="both"/>
        <w:rPr>
          <w:rFonts w:ascii="Times New Roman" w:hAnsi="Times New Roman"/>
          <w:b w:val="0"/>
        </w:rPr>
      </w:pPr>
    </w:p>
    <w:p w:rsidR="007D636E" w:rsidRPr="00834A65" w:rsidRDefault="007D636E" w:rsidP="006A7A85">
      <w:pPr>
        <w:pStyle w:val="ListParagraph"/>
        <w:numPr>
          <w:ilvl w:val="0"/>
          <w:numId w:val="10"/>
        </w:numPr>
        <w:jc w:val="both"/>
        <w:rPr>
          <w:rFonts w:ascii="Times New Roman" w:hAnsi="Times New Roman"/>
          <w:b w:val="0"/>
        </w:rPr>
      </w:pPr>
      <w:r w:rsidRPr="00834A65">
        <w:rPr>
          <w:rFonts w:ascii="Times New Roman" w:hAnsi="Times New Roman"/>
          <w:b w:val="0"/>
        </w:rPr>
        <w:t>No legislative line in the sand defining irreversible and unmanageable risks such as persistent, bioaccumulative and carcinogenic chemicals – the risk framework is ‘business as usual’ outsid</w:t>
      </w:r>
      <w:r>
        <w:rPr>
          <w:rFonts w:ascii="Times New Roman" w:hAnsi="Times New Roman"/>
          <w:b w:val="0"/>
        </w:rPr>
        <w:t>e the legislation;</w:t>
      </w:r>
    </w:p>
    <w:p w:rsidR="007D636E" w:rsidRPr="001D585E" w:rsidRDefault="007D636E" w:rsidP="006A7A85">
      <w:pPr>
        <w:pStyle w:val="ListParagraph"/>
        <w:numPr>
          <w:ilvl w:val="0"/>
          <w:numId w:val="10"/>
        </w:numPr>
        <w:jc w:val="both"/>
        <w:rPr>
          <w:rFonts w:ascii="Times New Roman" w:hAnsi="Times New Roman"/>
          <w:b w:val="0"/>
        </w:rPr>
      </w:pPr>
      <w:r w:rsidRPr="00834A65">
        <w:rPr>
          <w:rFonts w:ascii="Times New Roman" w:hAnsi="Times New Roman"/>
          <w:b w:val="0"/>
        </w:rPr>
        <w:t xml:space="preserve">Nothing to ensure that chemicals refused, restricted or banned in comparable markets overseas automatically trigger a review in </w:t>
      </w:r>
      <w:smartTag w:uri="urn:schemas-microsoft-com:office:smarttags" w:element="country-region">
        <w:r w:rsidRPr="00834A65">
          <w:rPr>
            <w:rFonts w:ascii="Times New Roman" w:hAnsi="Times New Roman"/>
            <w:b w:val="0"/>
          </w:rPr>
          <w:t>Australia</w:t>
        </w:r>
      </w:smartTag>
      <w:r w:rsidRPr="00834A65">
        <w:rPr>
          <w:rFonts w:ascii="Times New Roman" w:hAnsi="Times New Roman"/>
          <w:b w:val="0"/>
        </w:rPr>
        <w:t>;</w:t>
      </w:r>
    </w:p>
    <w:p w:rsidR="007D636E" w:rsidRPr="00424011" w:rsidRDefault="007D636E" w:rsidP="006A7A85">
      <w:pPr>
        <w:pStyle w:val="ListParagraph"/>
        <w:numPr>
          <w:ilvl w:val="0"/>
          <w:numId w:val="10"/>
        </w:numPr>
        <w:jc w:val="both"/>
        <w:rPr>
          <w:rFonts w:ascii="Times New Roman" w:hAnsi="Times New Roman"/>
          <w:b w:val="0"/>
        </w:rPr>
      </w:pPr>
      <w:r>
        <w:rPr>
          <w:rFonts w:ascii="Times New Roman" w:hAnsi="Times New Roman"/>
          <w:b w:val="0"/>
        </w:rPr>
        <w:t>No reversal of the burden of proof – chemical companies will not have to prove their ‘4000 grandfathered’ chemicals and products are safe against contemporary health and environmental standards creating an uneven playing field for new registrants;</w:t>
      </w:r>
    </w:p>
    <w:p w:rsidR="007D636E" w:rsidRPr="00424011" w:rsidRDefault="007D636E" w:rsidP="006A7A85">
      <w:pPr>
        <w:pStyle w:val="ListParagraph"/>
        <w:numPr>
          <w:ilvl w:val="0"/>
          <w:numId w:val="10"/>
        </w:numPr>
        <w:jc w:val="both"/>
        <w:rPr>
          <w:rFonts w:ascii="Times New Roman" w:hAnsi="Times New Roman"/>
          <w:b w:val="0"/>
        </w:rPr>
      </w:pPr>
      <w:r>
        <w:rPr>
          <w:rFonts w:ascii="Times New Roman" w:hAnsi="Times New Roman"/>
          <w:b w:val="0"/>
        </w:rPr>
        <w:t>No systematic re-registration process is delivered – the proposed ‘continuation of approvals’ scheme will not quickly rid the system of unmanageable chemicals to make way for safer, greener chemistries;</w:t>
      </w:r>
    </w:p>
    <w:p w:rsidR="007D636E" w:rsidRDefault="007D636E" w:rsidP="006A7A85">
      <w:pPr>
        <w:pStyle w:val="ListParagraph"/>
        <w:numPr>
          <w:ilvl w:val="0"/>
          <w:numId w:val="10"/>
        </w:numPr>
        <w:jc w:val="both"/>
        <w:rPr>
          <w:rFonts w:ascii="Times New Roman" w:hAnsi="Times New Roman"/>
          <w:b w:val="0"/>
        </w:rPr>
      </w:pPr>
      <w:r>
        <w:rPr>
          <w:rFonts w:ascii="Times New Roman" w:hAnsi="Times New Roman"/>
          <w:b w:val="0"/>
        </w:rPr>
        <w:t>No substantive improvements to the choked-up chemical review system – data cut off will help speed up assessments, but applying the same risk management framework will deliver the same outcomes resulting in the continued presence of unmanageable chemicals on the market, putting the environment and human health at continued risk;</w:t>
      </w:r>
    </w:p>
    <w:p w:rsidR="007D636E" w:rsidRDefault="007D636E" w:rsidP="006A7A85">
      <w:pPr>
        <w:pStyle w:val="ListParagraph"/>
        <w:jc w:val="both"/>
        <w:rPr>
          <w:rFonts w:ascii="Times New Roman" w:hAnsi="Times New Roman"/>
          <w:b w:val="0"/>
        </w:rPr>
      </w:pPr>
    </w:p>
    <w:p w:rsidR="007D636E" w:rsidRDefault="007D636E" w:rsidP="006A7A85">
      <w:pPr>
        <w:jc w:val="both"/>
        <w:rPr>
          <w:rFonts w:ascii="Times New Roman" w:hAnsi="Times New Roman"/>
          <w:b w:val="0"/>
        </w:rPr>
      </w:pPr>
      <w:r>
        <w:rPr>
          <w:rFonts w:ascii="Times New Roman" w:hAnsi="Times New Roman"/>
          <w:b w:val="0"/>
        </w:rPr>
        <w:t>We</w:t>
      </w:r>
      <w:r w:rsidRPr="00134D0C">
        <w:rPr>
          <w:rFonts w:ascii="Times New Roman" w:hAnsi="Times New Roman"/>
          <w:b w:val="0"/>
        </w:rPr>
        <w:t xml:space="preserve"> </w:t>
      </w:r>
      <w:r>
        <w:rPr>
          <w:rFonts w:ascii="Times New Roman" w:hAnsi="Times New Roman"/>
          <w:b w:val="0"/>
        </w:rPr>
        <w:t xml:space="preserve">will propose a number of amendments which would help to rescue the ALP commitments and </w:t>
      </w:r>
      <w:r w:rsidRPr="00134D0C">
        <w:rPr>
          <w:rFonts w:ascii="Times New Roman" w:hAnsi="Times New Roman"/>
          <w:b w:val="0"/>
        </w:rPr>
        <w:t>s</w:t>
      </w:r>
      <w:r>
        <w:rPr>
          <w:rFonts w:ascii="Times New Roman" w:hAnsi="Times New Roman"/>
          <w:b w:val="0"/>
        </w:rPr>
        <w:t>ubstantially improve the Bill, giving</w:t>
      </w:r>
      <w:r w:rsidRPr="00134D0C">
        <w:rPr>
          <w:rFonts w:ascii="Times New Roman" w:hAnsi="Times New Roman"/>
          <w:b w:val="0"/>
        </w:rPr>
        <w:t xml:space="preserve"> better protection to h</w:t>
      </w:r>
      <w:r>
        <w:rPr>
          <w:rFonts w:ascii="Times New Roman" w:hAnsi="Times New Roman"/>
          <w:b w:val="0"/>
        </w:rPr>
        <w:t>uman health and the environment.</w:t>
      </w:r>
    </w:p>
    <w:p w:rsidR="007D636E" w:rsidRDefault="007D636E" w:rsidP="00BF5B7E">
      <w:pPr>
        <w:rPr>
          <w:rFonts w:ascii="Times New Roman" w:hAnsi="Times New Roman"/>
          <w:b w:val="0"/>
        </w:rPr>
      </w:pPr>
    </w:p>
    <w:p w:rsidR="007D636E" w:rsidRDefault="007D636E" w:rsidP="00BF5B7E">
      <w:pPr>
        <w:rPr>
          <w:rFonts w:ascii="Times New Roman" w:hAnsi="Times New Roman"/>
          <w:b w:val="0"/>
        </w:rPr>
      </w:pPr>
      <w:r>
        <w:rPr>
          <w:rFonts w:ascii="Times New Roman" w:hAnsi="Times New Roman"/>
          <w:b w:val="0"/>
        </w:rPr>
        <w:t>Yours sincerely,</w:t>
      </w:r>
    </w:p>
    <w:p w:rsidR="007D636E" w:rsidRDefault="007D636E" w:rsidP="00BF5B7E">
      <w:pPr>
        <w:rPr>
          <w:rFonts w:ascii="Times New Roman" w:hAnsi="Times New Roman"/>
          <w:b w:val="0"/>
        </w:rPr>
      </w:pPr>
      <w:r>
        <w:rPr>
          <w:noProof/>
          <w:lang w:val="en-US"/>
        </w:rPr>
        <w:pict>
          <v:shape id="_x0000_s1026" type="#_x0000_t75" style="position:absolute;margin-left:265.05pt;margin-top:19.2pt;width:2in;height:40.5pt;z-index:251658240">
            <v:imagedata r:id="rId10" o:title=""/>
            <w10:wrap type="square"/>
          </v:shape>
        </w:pict>
      </w:r>
      <w:r w:rsidRPr="00B73C49">
        <w:rPr>
          <w:rFonts w:ascii="Times New Roman" w:hAnsi="Times New Roman"/>
          <w:b w:val="0"/>
        </w:rPr>
        <w:pict>
          <v:shape id="_x0000_i1027" type="#_x0000_t75" style="width:115.5pt;height:1in">
            <v:imagedata r:id="rId11" o:title="" croptop="25494f" cropbottom="25348f" cropleft="6872f" cropright="42286f"/>
          </v:shape>
        </w:pict>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p>
    <w:p w:rsidR="007D636E" w:rsidRPr="001A1A17" w:rsidRDefault="007D636E" w:rsidP="00BF5B7E">
      <w:pPr>
        <w:rPr>
          <w:rFonts w:ascii="Times New Roman" w:hAnsi="Times New Roman"/>
        </w:rPr>
      </w:pPr>
      <w:r>
        <w:rPr>
          <w:rFonts w:ascii="Times New Roman" w:hAnsi="Times New Roman"/>
        </w:rPr>
        <w:t>NICK HEATH</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JO IMMIG</w:t>
      </w:r>
    </w:p>
    <w:p w:rsidR="007D636E" w:rsidRPr="001A1A17" w:rsidRDefault="007D636E" w:rsidP="00BF5B7E">
      <w:pPr>
        <w:rPr>
          <w:rFonts w:ascii="Times New Roman" w:hAnsi="Times New Roman"/>
        </w:rPr>
      </w:pPr>
      <w:r w:rsidRPr="001A1A17">
        <w:rPr>
          <w:rFonts w:ascii="Times New Roman" w:hAnsi="Times New Roman"/>
        </w:rPr>
        <w:t>Freshwater Program Leader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Coordinator</w:t>
      </w:r>
    </w:p>
    <w:p w:rsidR="007D636E" w:rsidRDefault="007D636E" w:rsidP="00BF5B7E">
      <w:pPr>
        <w:rPr>
          <w:rFonts w:ascii="Times New Roman" w:hAnsi="Times New Roman"/>
        </w:rPr>
      </w:pPr>
      <w:r w:rsidRPr="001A1A17">
        <w:rPr>
          <w:rFonts w:ascii="Times New Roman" w:hAnsi="Times New Roman"/>
        </w:rPr>
        <w:t>WWF-Australia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National Toxics Network</w:t>
      </w:r>
    </w:p>
    <w:p w:rsidR="007D636E" w:rsidRDefault="007D636E" w:rsidP="00BF5B7E">
      <w:pPr>
        <w:rPr>
          <w:rFonts w:ascii="Times New Roman" w:hAnsi="Times New Roman"/>
        </w:rPr>
      </w:pPr>
    </w:p>
    <w:p w:rsidR="007D636E" w:rsidRDefault="007D636E" w:rsidP="00BF5B7E">
      <w:pPr>
        <w:rPr>
          <w:rFonts w:ascii="Times New Roman" w:hAnsi="Times New Roman"/>
        </w:rPr>
        <w:sectPr w:rsidR="007D636E" w:rsidSect="00946C1A">
          <w:pgSz w:w="12240" w:h="15840"/>
          <w:pgMar w:top="1134" w:right="1440" w:bottom="851" w:left="1440" w:header="709" w:footer="709" w:gutter="0"/>
          <w:cols w:space="708"/>
          <w:docGrid w:linePitch="328"/>
        </w:sectPr>
      </w:pPr>
    </w:p>
    <w:tbl>
      <w:tblPr>
        <w:tblW w:w="1474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61"/>
        <w:gridCol w:w="4395"/>
        <w:gridCol w:w="7087"/>
      </w:tblGrid>
      <w:tr w:rsidR="007D636E" w:rsidRPr="00B710D8" w:rsidTr="00483EAE">
        <w:tc>
          <w:tcPr>
            <w:tcW w:w="3261" w:type="dxa"/>
            <w:vAlign w:val="center"/>
          </w:tcPr>
          <w:p w:rsidR="007D636E" w:rsidRPr="00B710D8" w:rsidRDefault="007D636E" w:rsidP="00B57C91">
            <w:pPr>
              <w:spacing w:before="240" w:after="0"/>
              <w:jc w:val="center"/>
              <w:rPr>
                <w:rFonts w:ascii="Calibri" w:hAnsi="Calibri" w:cs="Calibri"/>
              </w:rPr>
            </w:pPr>
            <w:r w:rsidRPr="00B710D8">
              <w:rPr>
                <w:rFonts w:ascii="Calibri" w:hAnsi="Calibri" w:cs="Calibri"/>
              </w:rPr>
              <w:t>ALP COMMITMENT</w:t>
            </w:r>
          </w:p>
        </w:tc>
        <w:tc>
          <w:tcPr>
            <w:tcW w:w="4395" w:type="dxa"/>
            <w:vAlign w:val="center"/>
          </w:tcPr>
          <w:p w:rsidR="007D636E" w:rsidRPr="00B710D8" w:rsidRDefault="007D636E" w:rsidP="00B57C91">
            <w:pPr>
              <w:spacing w:before="240" w:after="0"/>
              <w:jc w:val="center"/>
              <w:rPr>
                <w:rFonts w:ascii="Calibri" w:hAnsi="Calibri" w:cs="Calibri"/>
              </w:rPr>
            </w:pPr>
            <w:r w:rsidRPr="00B710D8">
              <w:rPr>
                <w:rFonts w:ascii="Calibri" w:hAnsi="Calibri" w:cs="Calibri"/>
              </w:rPr>
              <w:t>DELIVERED?</w:t>
            </w:r>
          </w:p>
        </w:tc>
        <w:tc>
          <w:tcPr>
            <w:tcW w:w="7087" w:type="dxa"/>
            <w:vAlign w:val="center"/>
          </w:tcPr>
          <w:p w:rsidR="007D636E" w:rsidRPr="00B710D8" w:rsidRDefault="007D636E" w:rsidP="00B57C91">
            <w:pPr>
              <w:spacing w:before="240" w:after="0"/>
              <w:jc w:val="center"/>
              <w:rPr>
                <w:rFonts w:ascii="Calibri" w:hAnsi="Calibri" w:cs="Calibri"/>
                <w:sz w:val="16"/>
                <w:szCs w:val="16"/>
              </w:rPr>
            </w:pPr>
            <w:r w:rsidRPr="00B710D8">
              <w:rPr>
                <w:rFonts w:ascii="Calibri" w:hAnsi="Calibri" w:cs="Calibri"/>
              </w:rPr>
              <w:t>WHAT’S NEEDED?</w:t>
            </w:r>
          </w:p>
        </w:tc>
      </w:tr>
      <w:tr w:rsidR="007D636E" w:rsidRPr="00B710D8" w:rsidTr="00483EAE">
        <w:tc>
          <w:tcPr>
            <w:tcW w:w="3261" w:type="dxa"/>
          </w:tcPr>
          <w:p w:rsidR="007D636E" w:rsidRPr="00B710D8" w:rsidRDefault="007D636E" w:rsidP="00483EAE">
            <w:pPr>
              <w:pStyle w:val="ListParagraph"/>
              <w:numPr>
                <w:ilvl w:val="0"/>
                <w:numId w:val="19"/>
              </w:numPr>
              <w:spacing w:after="0"/>
              <w:ind w:left="213" w:hanging="218"/>
              <w:rPr>
                <w:rFonts w:ascii="Calibri" w:hAnsi="Calibri" w:cs="Calibri"/>
                <w:b w:val="0"/>
                <w:sz w:val="22"/>
              </w:rPr>
            </w:pPr>
            <w:r w:rsidRPr="00B710D8">
              <w:rPr>
                <w:rFonts w:ascii="Calibri" w:hAnsi="Calibri" w:cs="Calibri"/>
                <w:b w:val="0"/>
                <w:sz w:val="22"/>
              </w:rPr>
              <w:t>Better protect human health and environment</w:t>
            </w:r>
          </w:p>
        </w:tc>
        <w:tc>
          <w:tcPr>
            <w:tcW w:w="4395" w:type="dxa"/>
          </w:tcPr>
          <w:p w:rsidR="007D636E" w:rsidRPr="00B710D8" w:rsidRDefault="007D636E" w:rsidP="00483EAE">
            <w:pPr>
              <w:pStyle w:val="ListParagraph"/>
              <w:numPr>
                <w:ilvl w:val="0"/>
                <w:numId w:val="16"/>
              </w:numPr>
              <w:spacing w:after="0"/>
              <w:ind w:left="387" w:hanging="387"/>
              <w:rPr>
                <w:rFonts w:ascii="Calibri" w:hAnsi="Calibri" w:cs="Calibri"/>
                <w:b w:val="0"/>
                <w:sz w:val="22"/>
              </w:rPr>
            </w:pPr>
            <w:r w:rsidRPr="00B710D8">
              <w:rPr>
                <w:rFonts w:ascii="Calibri" w:hAnsi="Calibri" w:cs="Calibri"/>
                <w:b w:val="0"/>
                <w:sz w:val="22"/>
              </w:rPr>
              <w:t>New compliance tools</w:t>
            </w:r>
          </w:p>
          <w:p w:rsidR="007D636E" w:rsidRPr="00B710D8" w:rsidRDefault="007D636E" w:rsidP="00483EAE">
            <w:pPr>
              <w:pStyle w:val="ListParagraph"/>
              <w:numPr>
                <w:ilvl w:val="0"/>
                <w:numId w:val="17"/>
              </w:numPr>
              <w:spacing w:after="0"/>
              <w:ind w:left="387" w:hanging="387"/>
              <w:rPr>
                <w:rFonts w:ascii="Calibri" w:hAnsi="Calibri" w:cs="Calibri"/>
                <w:b w:val="0"/>
                <w:sz w:val="22"/>
              </w:rPr>
            </w:pPr>
            <w:r w:rsidRPr="00B710D8">
              <w:rPr>
                <w:rFonts w:ascii="Calibri" w:hAnsi="Calibri" w:cs="Calibri"/>
                <w:b w:val="0"/>
                <w:sz w:val="22"/>
              </w:rPr>
              <w:t xml:space="preserve">No priority for health or environment </w:t>
            </w:r>
          </w:p>
          <w:p w:rsidR="007D636E" w:rsidRPr="00B710D8" w:rsidRDefault="007D636E" w:rsidP="00483EAE">
            <w:pPr>
              <w:pStyle w:val="ListParagraph"/>
              <w:numPr>
                <w:ilvl w:val="0"/>
                <w:numId w:val="17"/>
              </w:numPr>
              <w:spacing w:after="0"/>
              <w:ind w:left="387" w:hanging="387"/>
              <w:rPr>
                <w:rFonts w:ascii="Calibri" w:hAnsi="Calibri" w:cs="Calibri"/>
                <w:b w:val="0"/>
                <w:sz w:val="22"/>
              </w:rPr>
            </w:pPr>
            <w:r w:rsidRPr="00B710D8">
              <w:rPr>
                <w:rFonts w:ascii="Calibri" w:hAnsi="Calibri" w:cs="Calibri"/>
                <w:b w:val="0"/>
                <w:sz w:val="22"/>
              </w:rPr>
              <w:t>No role for health or envt ministers</w:t>
            </w:r>
          </w:p>
          <w:p w:rsidR="007D636E" w:rsidRPr="00B710D8" w:rsidRDefault="007D636E" w:rsidP="00483EAE">
            <w:pPr>
              <w:pStyle w:val="ListParagraph"/>
              <w:numPr>
                <w:ilvl w:val="0"/>
                <w:numId w:val="17"/>
              </w:numPr>
              <w:spacing w:after="0"/>
              <w:ind w:left="387" w:hanging="387"/>
              <w:rPr>
                <w:rFonts w:ascii="Calibri" w:hAnsi="Calibri" w:cs="Calibri"/>
                <w:b w:val="0"/>
                <w:sz w:val="22"/>
              </w:rPr>
            </w:pPr>
            <w:r w:rsidRPr="00B710D8">
              <w:rPr>
                <w:rFonts w:ascii="Calibri" w:hAnsi="Calibri" w:cs="Calibri"/>
                <w:b w:val="0"/>
                <w:sz w:val="22"/>
              </w:rPr>
              <w:t>No ban of unmanageable pesticides</w:t>
            </w:r>
          </w:p>
          <w:p w:rsidR="007D636E" w:rsidRPr="00B710D8" w:rsidRDefault="007D636E" w:rsidP="00483EAE">
            <w:pPr>
              <w:pStyle w:val="ListParagraph"/>
              <w:numPr>
                <w:ilvl w:val="0"/>
                <w:numId w:val="17"/>
              </w:numPr>
              <w:spacing w:after="0"/>
              <w:ind w:left="387" w:hanging="387"/>
              <w:rPr>
                <w:rFonts w:ascii="Calibri" w:hAnsi="Calibri" w:cs="Calibri"/>
                <w:b w:val="0"/>
                <w:sz w:val="22"/>
              </w:rPr>
            </w:pPr>
            <w:r w:rsidRPr="00B710D8">
              <w:rPr>
                <w:rFonts w:ascii="Calibri" w:hAnsi="Calibri" w:cs="Calibri"/>
                <w:b w:val="0"/>
                <w:sz w:val="22"/>
              </w:rPr>
              <w:t>Health/Env’t advice can be overruled</w:t>
            </w:r>
          </w:p>
          <w:p w:rsidR="007D636E" w:rsidRPr="00B710D8" w:rsidRDefault="007D636E" w:rsidP="00B57C91">
            <w:pPr>
              <w:pStyle w:val="ListParagraph"/>
              <w:spacing w:after="0"/>
              <w:ind w:left="387"/>
              <w:rPr>
                <w:rFonts w:ascii="Calibri" w:hAnsi="Calibri" w:cs="Calibri"/>
                <w:b w:val="0"/>
                <w:sz w:val="22"/>
              </w:rPr>
            </w:pPr>
          </w:p>
        </w:tc>
        <w:tc>
          <w:tcPr>
            <w:tcW w:w="7087" w:type="dxa"/>
          </w:tcPr>
          <w:p w:rsidR="007D636E" w:rsidRPr="00B710D8" w:rsidRDefault="007D636E" w:rsidP="00483EAE">
            <w:pPr>
              <w:pStyle w:val="ListParagraph"/>
              <w:numPr>
                <w:ilvl w:val="0"/>
                <w:numId w:val="21"/>
              </w:numPr>
              <w:spacing w:after="0"/>
              <w:ind w:left="248" w:hanging="283"/>
              <w:rPr>
                <w:rFonts w:ascii="Calibri" w:hAnsi="Calibri" w:cs="Calibri"/>
                <w:b w:val="0"/>
                <w:sz w:val="22"/>
              </w:rPr>
            </w:pPr>
            <w:r w:rsidRPr="00B710D8">
              <w:rPr>
                <w:rFonts w:ascii="Calibri" w:hAnsi="Calibri" w:cs="Calibri"/>
                <w:b w:val="0"/>
                <w:sz w:val="22"/>
              </w:rPr>
              <w:t xml:space="preserve">Prohibit ‘unmanageable’ pesticides </w:t>
            </w:r>
          </w:p>
          <w:p w:rsidR="007D636E" w:rsidRPr="00B710D8" w:rsidRDefault="007D636E" w:rsidP="00483EAE">
            <w:pPr>
              <w:pStyle w:val="ListParagraph"/>
              <w:numPr>
                <w:ilvl w:val="0"/>
                <w:numId w:val="21"/>
              </w:numPr>
              <w:spacing w:after="0"/>
              <w:ind w:left="248" w:hanging="283"/>
              <w:rPr>
                <w:rFonts w:ascii="Calibri" w:hAnsi="Calibri" w:cs="Calibri"/>
                <w:b w:val="0"/>
                <w:sz w:val="22"/>
              </w:rPr>
            </w:pPr>
            <w:r w:rsidRPr="00B710D8">
              <w:rPr>
                <w:rFonts w:ascii="Calibri" w:hAnsi="Calibri" w:cs="Calibri"/>
                <w:b w:val="0"/>
                <w:sz w:val="22"/>
              </w:rPr>
              <w:t>Put reduction of health and environment risks in Act objects</w:t>
            </w:r>
          </w:p>
          <w:p w:rsidR="007D636E" w:rsidRPr="00B710D8" w:rsidRDefault="007D636E" w:rsidP="00483EAE">
            <w:pPr>
              <w:pStyle w:val="ListParagraph"/>
              <w:numPr>
                <w:ilvl w:val="0"/>
                <w:numId w:val="21"/>
              </w:numPr>
              <w:spacing w:after="0"/>
              <w:ind w:left="248" w:hanging="283"/>
              <w:rPr>
                <w:rFonts w:ascii="Calibri" w:hAnsi="Calibri" w:cs="Calibri"/>
                <w:b w:val="0"/>
                <w:sz w:val="22"/>
              </w:rPr>
            </w:pPr>
            <w:r w:rsidRPr="00B710D8">
              <w:rPr>
                <w:rFonts w:ascii="Calibri" w:hAnsi="Calibri" w:cs="Calibri"/>
                <w:b w:val="0"/>
                <w:sz w:val="22"/>
              </w:rPr>
              <w:t>Ensure APVMA can’t override Health or Environment Agency advice</w:t>
            </w:r>
          </w:p>
          <w:p w:rsidR="007D636E" w:rsidRPr="00B710D8" w:rsidRDefault="007D636E" w:rsidP="00483EAE">
            <w:pPr>
              <w:pStyle w:val="ListParagraph"/>
              <w:numPr>
                <w:ilvl w:val="0"/>
                <w:numId w:val="21"/>
              </w:numPr>
              <w:spacing w:after="0"/>
              <w:ind w:left="248" w:hanging="283"/>
              <w:rPr>
                <w:rFonts w:ascii="Calibri" w:hAnsi="Calibri" w:cs="Calibri"/>
                <w:b w:val="0"/>
                <w:sz w:val="22"/>
              </w:rPr>
            </w:pPr>
            <w:r w:rsidRPr="00B710D8">
              <w:rPr>
                <w:rFonts w:ascii="Calibri" w:hAnsi="Calibri" w:cs="Calibri"/>
                <w:b w:val="0"/>
                <w:sz w:val="22"/>
              </w:rPr>
              <w:t>Allow Health and Environment Ministers to order reviews</w:t>
            </w:r>
          </w:p>
          <w:p w:rsidR="007D636E" w:rsidRPr="00B710D8" w:rsidRDefault="007D636E" w:rsidP="00B57C91">
            <w:pPr>
              <w:spacing w:after="0"/>
              <w:rPr>
                <w:rFonts w:ascii="Calibri" w:hAnsi="Calibri" w:cs="Calibri"/>
                <w:b w:val="0"/>
                <w:sz w:val="22"/>
              </w:rPr>
            </w:pPr>
          </w:p>
        </w:tc>
      </w:tr>
      <w:tr w:rsidR="007D636E" w:rsidRPr="00B710D8" w:rsidTr="00483EAE">
        <w:tc>
          <w:tcPr>
            <w:tcW w:w="3261" w:type="dxa"/>
          </w:tcPr>
          <w:p w:rsidR="007D636E" w:rsidRPr="00B710D8" w:rsidRDefault="007D636E" w:rsidP="00483EAE">
            <w:pPr>
              <w:pStyle w:val="ListParagraph"/>
              <w:numPr>
                <w:ilvl w:val="0"/>
                <w:numId w:val="19"/>
              </w:numPr>
              <w:spacing w:after="0"/>
              <w:ind w:left="213" w:hanging="218"/>
              <w:rPr>
                <w:rFonts w:ascii="Calibri" w:hAnsi="Calibri" w:cs="Calibri"/>
                <w:b w:val="0"/>
                <w:sz w:val="22"/>
              </w:rPr>
            </w:pPr>
            <w:r w:rsidRPr="00B710D8">
              <w:rPr>
                <w:rFonts w:ascii="Calibri" w:hAnsi="Calibri" w:cs="Calibri"/>
                <w:b w:val="0"/>
                <w:sz w:val="22"/>
              </w:rPr>
              <w:t>Encourage modern, cleaner, greener, safer  chemicals</w:t>
            </w:r>
          </w:p>
        </w:tc>
        <w:tc>
          <w:tcPr>
            <w:tcW w:w="4395" w:type="dxa"/>
          </w:tcPr>
          <w:p w:rsidR="007D636E" w:rsidRPr="00B710D8" w:rsidRDefault="007D636E" w:rsidP="00483EAE">
            <w:pPr>
              <w:pStyle w:val="ListParagraph"/>
              <w:numPr>
                <w:ilvl w:val="0"/>
                <w:numId w:val="11"/>
              </w:numPr>
              <w:spacing w:after="0"/>
              <w:ind w:left="389" w:hanging="389"/>
              <w:rPr>
                <w:rFonts w:ascii="Calibri" w:hAnsi="Calibri" w:cs="Calibri"/>
                <w:b w:val="0"/>
                <w:sz w:val="22"/>
              </w:rPr>
            </w:pPr>
            <w:r w:rsidRPr="00B710D8">
              <w:rPr>
                <w:rFonts w:ascii="Calibri" w:hAnsi="Calibri" w:cs="Calibri"/>
                <w:b w:val="0"/>
                <w:sz w:val="22"/>
              </w:rPr>
              <w:t>No risk based fees and charges</w:t>
            </w:r>
          </w:p>
          <w:p w:rsidR="007D636E" w:rsidRPr="00B710D8" w:rsidRDefault="007D636E" w:rsidP="00483EAE">
            <w:pPr>
              <w:pStyle w:val="ListParagraph"/>
              <w:numPr>
                <w:ilvl w:val="0"/>
                <w:numId w:val="11"/>
              </w:numPr>
              <w:spacing w:after="0"/>
              <w:ind w:left="389" w:hanging="389"/>
              <w:rPr>
                <w:rFonts w:ascii="Calibri" w:hAnsi="Calibri" w:cs="Calibri"/>
                <w:b w:val="0"/>
                <w:sz w:val="22"/>
              </w:rPr>
            </w:pPr>
            <w:r w:rsidRPr="00B710D8">
              <w:rPr>
                <w:rFonts w:ascii="Calibri" w:hAnsi="Calibri" w:cs="Calibri"/>
                <w:b w:val="0"/>
                <w:sz w:val="22"/>
              </w:rPr>
              <w:t>No level playing field – old is easy</w:t>
            </w:r>
          </w:p>
          <w:p w:rsidR="007D636E" w:rsidRPr="00B710D8" w:rsidRDefault="007D636E" w:rsidP="00483EAE">
            <w:pPr>
              <w:pStyle w:val="ListParagraph"/>
              <w:numPr>
                <w:ilvl w:val="0"/>
                <w:numId w:val="17"/>
              </w:numPr>
              <w:spacing w:after="0"/>
              <w:ind w:left="387" w:hanging="387"/>
              <w:rPr>
                <w:rFonts w:ascii="Calibri" w:hAnsi="Calibri" w:cs="Calibri"/>
                <w:b w:val="0"/>
                <w:sz w:val="22"/>
              </w:rPr>
            </w:pPr>
            <w:r w:rsidRPr="00B710D8">
              <w:rPr>
                <w:rFonts w:ascii="Calibri" w:hAnsi="Calibri" w:cs="Calibri"/>
                <w:b w:val="0"/>
                <w:sz w:val="22"/>
              </w:rPr>
              <w:t>No ban of unmanageable pesticides</w:t>
            </w:r>
          </w:p>
          <w:p w:rsidR="007D636E" w:rsidRPr="00B710D8" w:rsidRDefault="007D636E" w:rsidP="00B57C91">
            <w:pPr>
              <w:spacing w:after="0"/>
              <w:rPr>
                <w:rFonts w:ascii="Calibri" w:hAnsi="Calibri" w:cs="Calibri"/>
                <w:b w:val="0"/>
                <w:sz w:val="22"/>
              </w:rPr>
            </w:pPr>
          </w:p>
        </w:tc>
        <w:tc>
          <w:tcPr>
            <w:tcW w:w="7087" w:type="dxa"/>
          </w:tcPr>
          <w:p w:rsidR="007D636E" w:rsidRPr="00B710D8" w:rsidRDefault="007D636E" w:rsidP="00483EAE">
            <w:pPr>
              <w:pStyle w:val="ListParagraph"/>
              <w:numPr>
                <w:ilvl w:val="0"/>
                <w:numId w:val="19"/>
              </w:numPr>
              <w:spacing w:after="0"/>
              <w:ind w:left="248" w:hanging="283"/>
              <w:rPr>
                <w:rFonts w:ascii="Calibri" w:hAnsi="Calibri" w:cs="Calibri"/>
                <w:b w:val="0"/>
                <w:sz w:val="22"/>
              </w:rPr>
            </w:pPr>
            <w:r w:rsidRPr="00B710D8">
              <w:rPr>
                <w:rFonts w:ascii="Calibri" w:hAnsi="Calibri" w:cs="Calibri"/>
                <w:b w:val="0"/>
                <w:sz w:val="22"/>
              </w:rPr>
              <w:t xml:space="preserve">Prohibit ‘unmanageable’ pesticides </w:t>
            </w:r>
          </w:p>
          <w:p w:rsidR="007D636E" w:rsidRPr="00B710D8" w:rsidRDefault="007D636E" w:rsidP="00483EAE">
            <w:pPr>
              <w:pStyle w:val="ListParagraph"/>
              <w:numPr>
                <w:ilvl w:val="0"/>
                <w:numId w:val="19"/>
              </w:numPr>
              <w:spacing w:after="0"/>
              <w:ind w:left="248" w:hanging="283"/>
              <w:rPr>
                <w:rFonts w:ascii="Calibri" w:hAnsi="Calibri" w:cs="Calibri"/>
                <w:b w:val="0"/>
                <w:sz w:val="22"/>
              </w:rPr>
            </w:pPr>
            <w:r w:rsidRPr="00B710D8">
              <w:rPr>
                <w:rFonts w:ascii="Calibri" w:hAnsi="Calibri" w:cs="Calibri"/>
                <w:b w:val="0"/>
                <w:sz w:val="22"/>
              </w:rPr>
              <w:t>Old pesticides must meet same standards as new pesticides</w:t>
            </w:r>
          </w:p>
          <w:p w:rsidR="007D636E" w:rsidRPr="00B710D8" w:rsidRDefault="007D636E" w:rsidP="00483EAE">
            <w:pPr>
              <w:pStyle w:val="ListParagraph"/>
              <w:numPr>
                <w:ilvl w:val="0"/>
                <w:numId w:val="19"/>
              </w:numPr>
              <w:spacing w:after="0"/>
              <w:ind w:left="248" w:hanging="283"/>
              <w:rPr>
                <w:rFonts w:ascii="Calibri" w:hAnsi="Calibri" w:cs="Calibri"/>
                <w:b w:val="0"/>
                <w:sz w:val="22"/>
              </w:rPr>
            </w:pPr>
            <w:r w:rsidRPr="00B710D8">
              <w:rPr>
                <w:rFonts w:ascii="Calibri" w:hAnsi="Calibri" w:cs="Calibri"/>
                <w:b w:val="0"/>
                <w:sz w:val="22"/>
              </w:rPr>
              <w:t>Charge fees based on risk, not volume</w:t>
            </w:r>
          </w:p>
          <w:p w:rsidR="007D636E" w:rsidRPr="00B710D8" w:rsidRDefault="007D636E" w:rsidP="00B57C91">
            <w:pPr>
              <w:pStyle w:val="ListParagraph"/>
              <w:spacing w:after="0"/>
              <w:ind w:left="248" w:hanging="283"/>
              <w:rPr>
                <w:rFonts w:ascii="Calibri" w:hAnsi="Calibri" w:cs="Calibri"/>
                <w:b w:val="0"/>
                <w:sz w:val="22"/>
              </w:rPr>
            </w:pPr>
          </w:p>
        </w:tc>
      </w:tr>
      <w:tr w:rsidR="007D636E" w:rsidRPr="00B710D8" w:rsidTr="00483EAE">
        <w:tc>
          <w:tcPr>
            <w:tcW w:w="3261" w:type="dxa"/>
          </w:tcPr>
          <w:p w:rsidR="007D636E" w:rsidRPr="00B710D8" w:rsidRDefault="007D636E" w:rsidP="00483EAE">
            <w:pPr>
              <w:pStyle w:val="ListParagraph"/>
              <w:numPr>
                <w:ilvl w:val="0"/>
                <w:numId w:val="19"/>
              </w:numPr>
              <w:spacing w:after="0"/>
              <w:ind w:left="213" w:hanging="218"/>
              <w:rPr>
                <w:rFonts w:ascii="Calibri" w:hAnsi="Calibri" w:cs="Calibri"/>
                <w:b w:val="0"/>
                <w:sz w:val="22"/>
              </w:rPr>
            </w:pPr>
            <w:r w:rsidRPr="00B710D8">
              <w:rPr>
                <w:rFonts w:ascii="Calibri" w:hAnsi="Calibri" w:cs="Calibri"/>
                <w:b w:val="0"/>
                <w:sz w:val="22"/>
              </w:rPr>
              <w:t>More efficient reviews</w:t>
            </w:r>
          </w:p>
        </w:tc>
        <w:tc>
          <w:tcPr>
            <w:tcW w:w="4395" w:type="dxa"/>
          </w:tcPr>
          <w:p w:rsidR="007D636E" w:rsidRPr="00B710D8" w:rsidRDefault="007D636E" w:rsidP="00483EAE">
            <w:pPr>
              <w:pStyle w:val="ListParagraph"/>
              <w:numPr>
                <w:ilvl w:val="0"/>
                <w:numId w:val="18"/>
              </w:numPr>
              <w:spacing w:after="0"/>
              <w:ind w:left="389"/>
              <w:rPr>
                <w:rFonts w:ascii="Calibri" w:hAnsi="Calibri" w:cs="Calibri"/>
                <w:b w:val="0"/>
                <w:sz w:val="22"/>
              </w:rPr>
            </w:pPr>
            <w:r w:rsidRPr="00B710D8">
              <w:rPr>
                <w:rFonts w:ascii="Calibri" w:hAnsi="Calibri" w:cs="Calibri"/>
                <w:b w:val="0"/>
                <w:sz w:val="22"/>
              </w:rPr>
              <w:t xml:space="preserve">Industry data cut-offs   </w:t>
            </w:r>
          </w:p>
          <w:p w:rsidR="007D636E" w:rsidRPr="00B710D8" w:rsidRDefault="007D636E" w:rsidP="00483EAE">
            <w:pPr>
              <w:pStyle w:val="ListParagraph"/>
              <w:numPr>
                <w:ilvl w:val="0"/>
                <w:numId w:val="17"/>
              </w:numPr>
              <w:spacing w:after="0"/>
              <w:ind w:left="387" w:hanging="387"/>
              <w:rPr>
                <w:rFonts w:ascii="Calibri" w:hAnsi="Calibri" w:cs="Calibri"/>
                <w:b w:val="0"/>
                <w:sz w:val="22"/>
              </w:rPr>
            </w:pPr>
            <w:r w:rsidRPr="00B710D8">
              <w:rPr>
                <w:rFonts w:ascii="Calibri" w:hAnsi="Calibri" w:cs="Calibri"/>
                <w:b w:val="0"/>
                <w:sz w:val="22"/>
              </w:rPr>
              <w:t>No ban of unmanageable pesticides</w:t>
            </w:r>
          </w:p>
          <w:p w:rsidR="007D636E" w:rsidRPr="00B710D8" w:rsidRDefault="007D636E" w:rsidP="00B57C91">
            <w:pPr>
              <w:pStyle w:val="ListParagraph"/>
              <w:spacing w:after="0"/>
              <w:ind w:left="389"/>
              <w:rPr>
                <w:rFonts w:ascii="Calibri" w:hAnsi="Calibri" w:cs="Calibri"/>
                <w:b w:val="0"/>
                <w:sz w:val="22"/>
              </w:rPr>
            </w:pPr>
          </w:p>
        </w:tc>
        <w:tc>
          <w:tcPr>
            <w:tcW w:w="7087" w:type="dxa"/>
          </w:tcPr>
          <w:p w:rsidR="007D636E" w:rsidRPr="00B710D8" w:rsidRDefault="007D636E" w:rsidP="00483EAE">
            <w:pPr>
              <w:pStyle w:val="ListParagraph"/>
              <w:numPr>
                <w:ilvl w:val="0"/>
                <w:numId w:val="19"/>
              </w:numPr>
              <w:spacing w:after="0"/>
              <w:ind w:left="248" w:hanging="283"/>
              <w:rPr>
                <w:rFonts w:ascii="Calibri" w:hAnsi="Calibri" w:cs="Calibri"/>
                <w:b w:val="0"/>
                <w:sz w:val="22"/>
              </w:rPr>
            </w:pPr>
            <w:r w:rsidRPr="00B710D8">
              <w:rPr>
                <w:rFonts w:ascii="Calibri" w:hAnsi="Calibri" w:cs="Calibri"/>
                <w:b w:val="0"/>
                <w:sz w:val="22"/>
              </w:rPr>
              <w:t xml:space="preserve">Prohibit ‘unmanageable’ pesticides </w:t>
            </w:r>
          </w:p>
          <w:p w:rsidR="007D636E" w:rsidRPr="00B710D8" w:rsidRDefault="007D636E" w:rsidP="00483EAE">
            <w:pPr>
              <w:pStyle w:val="ListParagraph"/>
              <w:numPr>
                <w:ilvl w:val="0"/>
                <w:numId w:val="22"/>
              </w:numPr>
              <w:spacing w:after="0"/>
              <w:ind w:left="248" w:hanging="283"/>
              <w:rPr>
                <w:rFonts w:ascii="Calibri" w:hAnsi="Calibri" w:cs="Calibri"/>
                <w:b w:val="0"/>
                <w:sz w:val="22"/>
              </w:rPr>
            </w:pPr>
            <w:r w:rsidRPr="00B710D8">
              <w:rPr>
                <w:rFonts w:ascii="Calibri" w:hAnsi="Calibri" w:cs="Calibri"/>
                <w:b w:val="0"/>
                <w:sz w:val="22"/>
              </w:rPr>
              <w:t xml:space="preserve">Set 3yr deadline for new reviews; but only 1yr for existing reviews &gt;5yrs </w:t>
            </w:r>
          </w:p>
          <w:p w:rsidR="007D636E" w:rsidRPr="00B710D8" w:rsidRDefault="007D636E" w:rsidP="00B57C91">
            <w:pPr>
              <w:spacing w:after="0"/>
              <w:ind w:left="-35"/>
              <w:rPr>
                <w:rFonts w:ascii="Calibri" w:hAnsi="Calibri" w:cs="Calibri"/>
                <w:b w:val="0"/>
                <w:sz w:val="22"/>
              </w:rPr>
            </w:pPr>
          </w:p>
        </w:tc>
      </w:tr>
      <w:tr w:rsidR="007D636E" w:rsidRPr="00B710D8" w:rsidTr="00483EAE">
        <w:tc>
          <w:tcPr>
            <w:tcW w:w="3261" w:type="dxa"/>
          </w:tcPr>
          <w:p w:rsidR="007D636E" w:rsidRPr="00B710D8" w:rsidRDefault="007D636E" w:rsidP="00483EAE">
            <w:pPr>
              <w:pStyle w:val="ListParagraph"/>
              <w:numPr>
                <w:ilvl w:val="0"/>
                <w:numId w:val="12"/>
              </w:numPr>
              <w:spacing w:after="0"/>
              <w:ind w:left="213" w:hanging="213"/>
              <w:rPr>
                <w:rFonts w:ascii="Calibri" w:hAnsi="Calibri" w:cs="Calibri"/>
                <w:b w:val="0"/>
                <w:sz w:val="22"/>
              </w:rPr>
            </w:pPr>
            <w:r w:rsidRPr="00B710D8">
              <w:rPr>
                <w:rFonts w:ascii="Calibri" w:hAnsi="Calibri" w:cs="Calibri"/>
                <w:b w:val="0"/>
                <w:sz w:val="22"/>
              </w:rPr>
              <w:t>Put onus on companies to prove safety at regular intervals in line with US/EU</w:t>
            </w:r>
          </w:p>
        </w:tc>
        <w:tc>
          <w:tcPr>
            <w:tcW w:w="4395" w:type="dxa"/>
          </w:tcPr>
          <w:p w:rsidR="007D636E" w:rsidRPr="00B710D8" w:rsidRDefault="007D636E" w:rsidP="00483EAE">
            <w:pPr>
              <w:pStyle w:val="ListParagraph"/>
              <w:numPr>
                <w:ilvl w:val="0"/>
                <w:numId w:val="11"/>
              </w:numPr>
              <w:spacing w:after="0"/>
              <w:ind w:left="389" w:hanging="389"/>
              <w:rPr>
                <w:rFonts w:ascii="Calibri" w:hAnsi="Calibri" w:cs="Calibri"/>
                <w:b w:val="0"/>
                <w:sz w:val="22"/>
              </w:rPr>
            </w:pPr>
            <w:r w:rsidRPr="00B710D8">
              <w:rPr>
                <w:rFonts w:ascii="Calibri" w:hAnsi="Calibri" w:cs="Calibri"/>
                <w:b w:val="0"/>
                <w:sz w:val="22"/>
              </w:rPr>
              <w:t>No re-registration like EU/US</w:t>
            </w:r>
          </w:p>
          <w:p w:rsidR="007D636E" w:rsidRPr="00B710D8" w:rsidRDefault="007D636E" w:rsidP="00483EAE">
            <w:pPr>
              <w:pStyle w:val="ListParagraph"/>
              <w:numPr>
                <w:ilvl w:val="0"/>
                <w:numId w:val="11"/>
              </w:numPr>
              <w:spacing w:after="0"/>
              <w:ind w:left="389" w:hanging="389"/>
              <w:rPr>
                <w:rFonts w:ascii="Calibri" w:hAnsi="Calibri" w:cs="Calibri"/>
                <w:b w:val="0"/>
                <w:sz w:val="22"/>
              </w:rPr>
            </w:pPr>
            <w:r w:rsidRPr="00B710D8">
              <w:rPr>
                <w:rFonts w:ascii="Calibri" w:hAnsi="Calibri" w:cs="Calibri"/>
                <w:b w:val="0"/>
                <w:sz w:val="22"/>
              </w:rPr>
              <w:t>Continuation is only ‘tick and flick’</w:t>
            </w:r>
          </w:p>
          <w:p w:rsidR="007D636E" w:rsidRPr="00B710D8" w:rsidRDefault="007D636E" w:rsidP="00483EAE">
            <w:pPr>
              <w:pStyle w:val="ListParagraph"/>
              <w:numPr>
                <w:ilvl w:val="0"/>
                <w:numId w:val="11"/>
              </w:numPr>
              <w:spacing w:after="0"/>
              <w:ind w:left="389" w:hanging="389"/>
              <w:rPr>
                <w:rFonts w:ascii="Calibri" w:hAnsi="Calibri" w:cs="Calibri"/>
                <w:b w:val="0"/>
                <w:sz w:val="22"/>
              </w:rPr>
            </w:pPr>
            <w:r w:rsidRPr="00B710D8">
              <w:rPr>
                <w:rFonts w:ascii="Calibri" w:hAnsi="Calibri" w:cs="Calibri"/>
                <w:b w:val="0"/>
                <w:sz w:val="22"/>
              </w:rPr>
              <w:t>Less data required than new registration</w:t>
            </w:r>
          </w:p>
          <w:p w:rsidR="007D636E" w:rsidRPr="00B710D8" w:rsidRDefault="007D636E" w:rsidP="00483EAE">
            <w:pPr>
              <w:pStyle w:val="ListParagraph"/>
              <w:numPr>
                <w:ilvl w:val="0"/>
                <w:numId w:val="11"/>
              </w:numPr>
              <w:spacing w:after="0"/>
              <w:ind w:left="389" w:hanging="389"/>
              <w:rPr>
                <w:rFonts w:ascii="Calibri" w:hAnsi="Calibri" w:cs="Calibri"/>
                <w:b w:val="0"/>
                <w:sz w:val="22"/>
              </w:rPr>
            </w:pPr>
            <w:r w:rsidRPr="00B710D8">
              <w:rPr>
                <w:rFonts w:ascii="Calibri" w:hAnsi="Calibri" w:cs="Calibri"/>
                <w:b w:val="0"/>
                <w:sz w:val="22"/>
              </w:rPr>
              <w:t>Burden of proof still with review team</w:t>
            </w:r>
          </w:p>
          <w:p w:rsidR="007D636E" w:rsidRPr="00B710D8" w:rsidRDefault="007D636E" w:rsidP="00483EAE">
            <w:pPr>
              <w:pStyle w:val="ListParagraph"/>
              <w:numPr>
                <w:ilvl w:val="0"/>
                <w:numId w:val="11"/>
              </w:numPr>
              <w:spacing w:after="0"/>
              <w:ind w:left="389" w:hanging="389"/>
              <w:rPr>
                <w:rFonts w:ascii="Calibri" w:hAnsi="Calibri" w:cs="Calibri"/>
                <w:b w:val="0"/>
                <w:sz w:val="22"/>
              </w:rPr>
            </w:pPr>
            <w:r w:rsidRPr="00B710D8">
              <w:rPr>
                <w:rFonts w:ascii="Calibri" w:hAnsi="Calibri" w:cs="Calibri"/>
                <w:b w:val="0"/>
                <w:sz w:val="22"/>
              </w:rPr>
              <w:t>7yr interval too long for high risk</w:t>
            </w:r>
          </w:p>
          <w:p w:rsidR="007D636E" w:rsidRPr="00B710D8" w:rsidRDefault="007D636E" w:rsidP="00B57C91">
            <w:pPr>
              <w:spacing w:after="0"/>
              <w:ind w:left="389" w:hanging="389"/>
              <w:rPr>
                <w:rFonts w:ascii="Calibri" w:hAnsi="Calibri" w:cs="Calibri"/>
                <w:b w:val="0"/>
                <w:sz w:val="22"/>
              </w:rPr>
            </w:pPr>
          </w:p>
        </w:tc>
        <w:tc>
          <w:tcPr>
            <w:tcW w:w="7087" w:type="dxa"/>
          </w:tcPr>
          <w:p w:rsidR="007D636E" w:rsidRPr="00B710D8" w:rsidRDefault="007D636E" w:rsidP="00483EAE">
            <w:pPr>
              <w:pStyle w:val="ListParagraph"/>
              <w:numPr>
                <w:ilvl w:val="0"/>
                <w:numId w:val="19"/>
              </w:numPr>
              <w:spacing w:after="0"/>
              <w:ind w:left="248" w:hanging="283"/>
              <w:rPr>
                <w:rFonts w:ascii="Calibri" w:hAnsi="Calibri" w:cs="Calibri"/>
                <w:b w:val="0"/>
                <w:sz w:val="22"/>
              </w:rPr>
            </w:pPr>
            <w:r w:rsidRPr="00B710D8">
              <w:rPr>
                <w:rFonts w:ascii="Calibri" w:hAnsi="Calibri" w:cs="Calibri"/>
                <w:b w:val="0"/>
                <w:sz w:val="22"/>
              </w:rPr>
              <w:t xml:space="preserve">Prohibit ‘unmanageable’ pesticides </w:t>
            </w:r>
          </w:p>
          <w:p w:rsidR="007D636E" w:rsidRPr="00B710D8" w:rsidRDefault="007D636E" w:rsidP="00483EAE">
            <w:pPr>
              <w:pStyle w:val="ListParagraph"/>
              <w:numPr>
                <w:ilvl w:val="0"/>
                <w:numId w:val="22"/>
              </w:numPr>
              <w:spacing w:after="0"/>
              <w:ind w:left="248" w:hanging="283"/>
              <w:rPr>
                <w:rFonts w:ascii="Calibri" w:hAnsi="Calibri" w:cs="Calibri"/>
                <w:b w:val="0"/>
                <w:sz w:val="22"/>
              </w:rPr>
            </w:pPr>
            <w:r w:rsidRPr="00B710D8">
              <w:rPr>
                <w:rFonts w:ascii="Calibri" w:hAnsi="Calibri" w:cs="Calibri"/>
                <w:b w:val="0"/>
                <w:sz w:val="22"/>
              </w:rPr>
              <w:t>Introduce re-registration system like the EU/US as promised, not ‘continuation’</w:t>
            </w:r>
          </w:p>
          <w:p w:rsidR="007D636E" w:rsidRPr="00B710D8" w:rsidRDefault="007D636E" w:rsidP="00483EAE">
            <w:pPr>
              <w:pStyle w:val="ListParagraph"/>
              <w:numPr>
                <w:ilvl w:val="0"/>
                <w:numId w:val="22"/>
              </w:numPr>
              <w:spacing w:after="0"/>
              <w:ind w:left="248" w:hanging="283"/>
              <w:rPr>
                <w:rFonts w:ascii="Calibri" w:hAnsi="Calibri" w:cs="Calibri"/>
                <w:b w:val="0"/>
                <w:sz w:val="22"/>
              </w:rPr>
            </w:pPr>
            <w:r w:rsidRPr="00B710D8">
              <w:rPr>
                <w:rFonts w:ascii="Calibri" w:hAnsi="Calibri" w:cs="Calibri"/>
                <w:b w:val="0"/>
                <w:sz w:val="22"/>
              </w:rPr>
              <w:t>Same evidence thresholds as new registrations, EU or US</w:t>
            </w:r>
            <w:bookmarkStart w:id="0" w:name="_GoBack"/>
            <w:bookmarkEnd w:id="0"/>
          </w:p>
          <w:p w:rsidR="007D636E" w:rsidRPr="00B710D8" w:rsidRDefault="007D636E" w:rsidP="00483EAE">
            <w:pPr>
              <w:pStyle w:val="ListParagraph"/>
              <w:numPr>
                <w:ilvl w:val="0"/>
                <w:numId w:val="22"/>
              </w:numPr>
              <w:spacing w:after="0"/>
              <w:ind w:left="248" w:hanging="283"/>
              <w:rPr>
                <w:rFonts w:ascii="Calibri" w:hAnsi="Calibri" w:cs="Calibri"/>
                <w:b w:val="0"/>
                <w:sz w:val="22"/>
              </w:rPr>
            </w:pPr>
            <w:r w:rsidRPr="00B710D8">
              <w:rPr>
                <w:rFonts w:ascii="Calibri" w:hAnsi="Calibri" w:cs="Calibri"/>
                <w:b w:val="0"/>
                <w:sz w:val="22"/>
              </w:rPr>
              <w:t>5 year maximum term for high risk pesticides</w:t>
            </w:r>
          </w:p>
          <w:p w:rsidR="007D636E" w:rsidRPr="00B710D8" w:rsidRDefault="007D636E" w:rsidP="00B57C91">
            <w:pPr>
              <w:spacing w:after="0"/>
              <w:ind w:left="248" w:hanging="283"/>
              <w:rPr>
                <w:rFonts w:ascii="Calibri" w:hAnsi="Calibri" w:cs="Calibri"/>
                <w:b w:val="0"/>
                <w:sz w:val="22"/>
              </w:rPr>
            </w:pPr>
          </w:p>
        </w:tc>
      </w:tr>
      <w:tr w:rsidR="007D636E" w:rsidRPr="00B710D8" w:rsidTr="00483EAE">
        <w:tc>
          <w:tcPr>
            <w:tcW w:w="3261" w:type="dxa"/>
          </w:tcPr>
          <w:p w:rsidR="007D636E" w:rsidRPr="00B710D8" w:rsidRDefault="007D636E" w:rsidP="00483EAE">
            <w:pPr>
              <w:pStyle w:val="ListParagraph"/>
              <w:numPr>
                <w:ilvl w:val="0"/>
                <w:numId w:val="13"/>
              </w:numPr>
              <w:spacing w:after="0"/>
              <w:ind w:left="213" w:hanging="213"/>
              <w:rPr>
                <w:rFonts w:ascii="Calibri" w:hAnsi="Calibri" w:cs="Calibri"/>
                <w:b w:val="0"/>
                <w:sz w:val="22"/>
              </w:rPr>
            </w:pPr>
            <w:r w:rsidRPr="00B710D8">
              <w:rPr>
                <w:rFonts w:ascii="Calibri" w:hAnsi="Calibri" w:cs="Calibri"/>
                <w:b w:val="0"/>
                <w:sz w:val="22"/>
              </w:rPr>
              <w:t>If banned overseas, trigger review</w:t>
            </w:r>
          </w:p>
        </w:tc>
        <w:tc>
          <w:tcPr>
            <w:tcW w:w="4395" w:type="dxa"/>
          </w:tcPr>
          <w:p w:rsidR="007D636E" w:rsidRPr="00B710D8" w:rsidRDefault="007D636E" w:rsidP="00483EAE">
            <w:pPr>
              <w:pStyle w:val="ListParagraph"/>
              <w:numPr>
                <w:ilvl w:val="0"/>
                <w:numId w:val="11"/>
              </w:numPr>
              <w:spacing w:after="0"/>
              <w:ind w:left="389" w:hanging="389"/>
              <w:rPr>
                <w:rFonts w:ascii="Calibri" w:hAnsi="Calibri" w:cs="Calibri"/>
                <w:b w:val="0"/>
                <w:sz w:val="22"/>
              </w:rPr>
            </w:pPr>
            <w:r w:rsidRPr="00B710D8">
              <w:rPr>
                <w:rFonts w:ascii="Calibri" w:hAnsi="Calibri" w:cs="Calibri"/>
                <w:b w:val="0"/>
                <w:sz w:val="22"/>
              </w:rPr>
              <w:t xml:space="preserve">No automatic review trigger </w:t>
            </w:r>
          </w:p>
          <w:p w:rsidR="007D636E" w:rsidRPr="00B710D8" w:rsidRDefault="007D636E" w:rsidP="00483EAE">
            <w:pPr>
              <w:pStyle w:val="ListParagraph"/>
              <w:numPr>
                <w:ilvl w:val="0"/>
                <w:numId w:val="11"/>
              </w:numPr>
              <w:spacing w:after="0"/>
              <w:ind w:left="389" w:hanging="389"/>
              <w:rPr>
                <w:rFonts w:ascii="Calibri" w:hAnsi="Calibri" w:cs="Calibri"/>
                <w:b w:val="0"/>
                <w:sz w:val="22"/>
              </w:rPr>
            </w:pPr>
            <w:r w:rsidRPr="00B710D8">
              <w:rPr>
                <w:rFonts w:ascii="Calibri" w:hAnsi="Calibri" w:cs="Calibri"/>
                <w:b w:val="0"/>
                <w:sz w:val="22"/>
              </w:rPr>
              <w:t>No review for the 7% or 80 EU pesticides that failed full assessment</w:t>
            </w:r>
          </w:p>
          <w:p w:rsidR="007D636E" w:rsidRPr="00B710D8" w:rsidRDefault="007D636E" w:rsidP="00483EAE">
            <w:pPr>
              <w:pStyle w:val="ListParagraph"/>
              <w:numPr>
                <w:ilvl w:val="0"/>
                <w:numId w:val="11"/>
              </w:numPr>
              <w:spacing w:after="0"/>
              <w:ind w:left="389" w:hanging="389"/>
              <w:rPr>
                <w:rFonts w:ascii="Calibri" w:hAnsi="Calibri" w:cs="Calibri"/>
                <w:b w:val="0"/>
                <w:sz w:val="22"/>
              </w:rPr>
            </w:pPr>
            <w:r w:rsidRPr="00B710D8">
              <w:rPr>
                <w:rFonts w:ascii="Calibri" w:hAnsi="Calibri" w:cs="Calibri"/>
                <w:b w:val="0"/>
                <w:sz w:val="22"/>
              </w:rPr>
              <w:t xml:space="preserve">No </w:t>
            </w:r>
            <w:r w:rsidRPr="00B710D8">
              <w:rPr>
                <w:rFonts w:ascii="Calibri" w:hAnsi="Calibri" w:cs="Calibri"/>
                <w:b w:val="0"/>
                <w:i/>
                <w:sz w:val="22"/>
              </w:rPr>
              <w:t>requirement</w:t>
            </w:r>
            <w:r w:rsidRPr="00B710D8">
              <w:rPr>
                <w:rFonts w:ascii="Calibri" w:hAnsi="Calibri" w:cs="Calibri"/>
                <w:b w:val="0"/>
                <w:sz w:val="22"/>
              </w:rPr>
              <w:t xml:space="preserve"> to use o/s info Re-</w:t>
            </w:r>
          </w:p>
          <w:p w:rsidR="007D636E" w:rsidRPr="00B710D8" w:rsidRDefault="007D636E" w:rsidP="00483EAE">
            <w:pPr>
              <w:pStyle w:val="ListParagraph"/>
              <w:numPr>
                <w:ilvl w:val="0"/>
                <w:numId w:val="11"/>
              </w:numPr>
              <w:spacing w:after="0"/>
              <w:ind w:left="389" w:hanging="389"/>
              <w:rPr>
                <w:rFonts w:ascii="Calibri" w:hAnsi="Calibri" w:cs="Calibri"/>
                <w:b w:val="0"/>
                <w:sz w:val="22"/>
              </w:rPr>
            </w:pPr>
            <w:r w:rsidRPr="00B710D8">
              <w:rPr>
                <w:rFonts w:ascii="Calibri" w:hAnsi="Calibri" w:cs="Calibri"/>
                <w:b w:val="0"/>
                <w:sz w:val="22"/>
              </w:rPr>
              <w:t xml:space="preserve">Re-registration priorities ignore o/s bans </w:t>
            </w:r>
          </w:p>
          <w:p w:rsidR="007D636E" w:rsidRPr="00B710D8" w:rsidRDefault="007D636E" w:rsidP="00B57C91">
            <w:pPr>
              <w:pStyle w:val="ListParagraph"/>
              <w:spacing w:after="0"/>
              <w:ind w:left="389"/>
              <w:rPr>
                <w:rFonts w:ascii="Calibri" w:hAnsi="Calibri" w:cs="Calibri"/>
                <w:b w:val="0"/>
                <w:sz w:val="22"/>
              </w:rPr>
            </w:pPr>
          </w:p>
        </w:tc>
        <w:tc>
          <w:tcPr>
            <w:tcW w:w="7087" w:type="dxa"/>
          </w:tcPr>
          <w:p w:rsidR="007D636E" w:rsidRPr="00B710D8" w:rsidRDefault="007D636E" w:rsidP="00483EAE">
            <w:pPr>
              <w:pStyle w:val="ListParagraph"/>
              <w:numPr>
                <w:ilvl w:val="0"/>
                <w:numId w:val="19"/>
              </w:numPr>
              <w:spacing w:after="0"/>
              <w:ind w:left="248" w:hanging="283"/>
              <w:rPr>
                <w:rFonts w:ascii="Calibri" w:hAnsi="Calibri" w:cs="Calibri"/>
                <w:b w:val="0"/>
                <w:sz w:val="22"/>
              </w:rPr>
            </w:pPr>
            <w:r w:rsidRPr="00B710D8">
              <w:rPr>
                <w:rFonts w:ascii="Calibri" w:hAnsi="Calibri" w:cs="Calibri"/>
                <w:b w:val="0"/>
                <w:sz w:val="22"/>
              </w:rPr>
              <w:t>Prohibit ‘unmanageable’ pesticides, as they have overseas</w:t>
            </w:r>
          </w:p>
          <w:p w:rsidR="007D636E" w:rsidRPr="00B710D8" w:rsidRDefault="007D636E" w:rsidP="00483EAE">
            <w:pPr>
              <w:pStyle w:val="ListParagraph"/>
              <w:numPr>
                <w:ilvl w:val="0"/>
                <w:numId w:val="19"/>
              </w:numPr>
              <w:spacing w:after="0"/>
              <w:ind w:left="248" w:hanging="283"/>
              <w:rPr>
                <w:rFonts w:ascii="Calibri" w:hAnsi="Calibri" w:cs="Calibri"/>
                <w:b w:val="0"/>
                <w:sz w:val="22"/>
              </w:rPr>
            </w:pPr>
            <w:r w:rsidRPr="00B710D8">
              <w:rPr>
                <w:rFonts w:ascii="Calibri" w:hAnsi="Calibri" w:cs="Calibri"/>
                <w:b w:val="0"/>
                <w:sz w:val="22"/>
              </w:rPr>
              <w:t>Enshrine automatic review trigger of products banned or restricted overseas</w:t>
            </w:r>
          </w:p>
          <w:p w:rsidR="007D636E" w:rsidRPr="00B710D8" w:rsidRDefault="007D636E" w:rsidP="00B57C91">
            <w:pPr>
              <w:spacing w:after="0"/>
              <w:ind w:left="248" w:hanging="283"/>
              <w:rPr>
                <w:rFonts w:ascii="Calibri" w:hAnsi="Calibri" w:cs="Calibri"/>
                <w:b w:val="0"/>
                <w:sz w:val="22"/>
              </w:rPr>
            </w:pPr>
          </w:p>
        </w:tc>
      </w:tr>
      <w:tr w:rsidR="007D636E" w:rsidRPr="00B710D8" w:rsidTr="00483EAE">
        <w:tc>
          <w:tcPr>
            <w:tcW w:w="3261" w:type="dxa"/>
          </w:tcPr>
          <w:p w:rsidR="007D636E" w:rsidRPr="00B710D8" w:rsidRDefault="007D636E" w:rsidP="00483EAE">
            <w:pPr>
              <w:pStyle w:val="ListParagraph"/>
              <w:numPr>
                <w:ilvl w:val="0"/>
                <w:numId w:val="13"/>
              </w:numPr>
              <w:spacing w:after="0"/>
              <w:ind w:left="213" w:hanging="213"/>
              <w:rPr>
                <w:rFonts w:ascii="Calibri" w:hAnsi="Calibri" w:cs="Calibri"/>
                <w:b w:val="0"/>
                <w:sz w:val="22"/>
              </w:rPr>
            </w:pPr>
            <w:r w:rsidRPr="00B710D8">
              <w:rPr>
                <w:rFonts w:ascii="Calibri" w:hAnsi="Calibri" w:cs="Calibri"/>
                <w:b w:val="0"/>
                <w:sz w:val="22"/>
              </w:rPr>
              <w:t xml:space="preserve">Focus effort on risk </w:t>
            </w:r>
          </w:p>
        </w:tc>
        <w:tc>
          <w:tcPr>
            <w:tcW w:w="4395" w:type="dxa"/>
          </w:tcPr>
          <w:p w:rsidR="007D636E" w:rsidRPr="00B710D8" w:rsidRDefault="007D636E" w:rsidP="00483EAE">
            <w:pPr>
              <w:pStyle w:val="ListParagraph"/>
              <w:numPr>
                <w:ilvl w:val="0"/>
                <w:numId w:val="20"/>
              </w:numPr>
              <w:spacing w:after="0"/>
              <w:ind w:left="353"/>
              <w:rPr>
                <w:rFonts w:ascii="Calibri" w:hAnsi="Calibri" w:cs="Calibri"/>
                <w:b w:val="0"/>
                <w:sz w:val="22"/>
              </w:rPr>
            </w:pPr>
            <w:r w:rsidRPr="00B710D8">
              <w:rPr>
                <w:rFonts w:ascii="Calibri" w:hAnsi="Calibri" w:cs="Calibri"/>
                <w:b w:val="0"/>
                <w:sz w:val="22"/>
              </w:rPr>
              <w:t>Efficacy/trade issues less essential</w:t>
            </w:r>
          </w:p>
          <w:p w:rsidR="007D636E" w:rsidRPr="00B710D8" w:rsidRDefault="007D636E" w:rsidP="00483EAE">
            <w:pPr>
              <w:pStyle w:val="ListParagraph"/>
              <w:numPr>
                <w:ilvl w:val="0"/>
                <w:numId w:val="11"/>
              </w:numPr>
              <w:spacing w:after="0"/>
              <w:ind w:left="389" w:hanging="389"/>
              <w:rPr>
                <w:rFonts w:ascii="Calibri" w:hAnsi="Calibri" w:cs="Calibri"/>
                <w:b w:val="0"/>
                <w:sz w:val="22"/>
              </w:rPr>
            </w:pPr>
            <w:r w:rsidRPr="00B710D8">
              <w:rPr>
                <w:rFonts w:ascii="Calibri" w:hAnsi="Calibri" w:cs="Calibri"/>
                <w:b w:val="0"/>
                <w:sz w:val="22"/>
              </w:rPr>
              <w:t>Re-registration priorities ignore real risks</w:t>
            </w:r>
          </w:p>
          <w:p w:rsidR="007D636E" w:rsidRPr="00B710D8" w:rsidRDefault="007D636E" w:rsidP="00483EAE">
            <w:pPr>
              <w:pStyle w:val="ListParagraph"/>
              <w:numPr>
                <w:ilvl w:val="0"/>
                <w:numId w:val="17"/>
              </w:numPr>
              <w:spacing w:after="0"/>
              <w:ind w:left="387" w:hanging="387"/>
              <w:rPr>
                <w:rFonts w:ascii="Calibri" w:hAnsi="Calibri" w:cs="Calibri"/>
                <w:b w:val="0"/>
                <w:sz w:val="22"/>
              </w:rPr>
            </w:pPr>
            <w:r w:rsidRPr="00B710D8">
              <w:rPr>
                <w:rFonts w:ascii="Calibri" w:hAnsi="Calibri" w:cs="Calibri"/>
                <w:b w:val="0"/>
                <w:sz w:val="22"/>
              </w:rPr>
              <w:t>No ban of unmanageable pesticides</w:t>
            </w:r>
          </w:p>
          <w:p w:rsidR="007D636E" w:rsidRPr="00B710D8" w:rsidRDefault="007D636E" w:rsidP="00483EAE">
            <w:pPr>
              <w:pStyle w:val="ListParagraph"/>
              <w:numPr>
                <w:ilvl w:val="0"/>
                <w:numId w:val="11"/>
              </w:numPr>
              <w:spacing w:after="0"/>
              <w:ind w:left="389" w:hanging="389"/>
              <w:rPr>
                <w:rFonts w:ascii="Calibri" w:hAnsi="Calibri" w:cs="Calibri"/>
                <w:b w:val="0"/>
                <w:sz w:val="22"/>
              </w:rPr>
            </w:pPr>
            <w:r w:rsidRPr="00B710D8">
              <w:rPr>
                <w:rFonts w:ascii="Calibri" w:hAnsi="Calibri" w:cs="Calibri"/>
                <w:b w:val="0"/>
                <w:sz w:val="22"/>
              </w:rPr>
              <w:t xml:space="preserve">Risk criteria not law, buried in manuals </w:t>
            </w:r>
          </w:p>
          <w:p w:rsidR="007D636E" w:rsidRPr="00B710D8" w:rsidRDefault="007D636E" w:rsidP="00483EAE">
            <w:pPr>
              <w:pStyle w:val="ListParagraph"/>
              <w:numPr>
                <w:ilvl w:val="0"/>
                <w:numId w:val="11"/>
              </w:numPr>
              <w:spacing w:after="0"/>
              <w:ind w:left="389" w:hanging="389"/>
              <w:rPr>
                <w:rFonts w:ascii="Calibri" w:hAnsi="Calibri" w:cs="Calibri"/>
                <w:b w:val="0"/>
                <w:sz w:val="22"/>
              </w:rPr>
            </w:pPr>
            <w:r w:rsidRPr="00B710D8">
              <w:rPr>
                <w:rFonts w:ascii="Calibri" w:hAnsi="Calibri" w:cs="Calibri"/>
                <w:b w:val="0"/>
                <w:sz w:val="22"/>
              </w:rPr>
              <w:t>No change to old risk framework</w:t>
            </w:r>
          </w:p>
          <w:p w:rsidR="007D636E" w:rsidRPr="00B710D8" w:rsidRDefault="007D636E" w:rsidP="00B57C91">
            <w:pPr>
              <w:pStyle w:val="ListParagraph"/>
              <w:spacing w:after="0"/>
              <w:ind w:left="389"/>
              <w:rPr>
                <w:rFonts w:ascii="Calibri" w:hAnsi="Calibri" w:cs="Calibri"/>
                <w:b w:val="0"/>
                <w:sz w:val="22"/>
              </w:rPr>
            </w:pPr>
          </w:p>
        </w:tc>
        <w:tc>
          <w:tcPr>
            <w:tcW w:w="7087" w:type="dxa"/>
          </w:tcPr>
          <w:p w:rsidR="007D636E" w:rsidRPr="00B710D8" w:rsidRDefault="007D636E" w:rsidP="00483EAE">
            <w:pPr>
              <w:pStyle w:val="ListParagraph"/>
              <w:numPr>
                <w:ilvl w:val="0"/>
                <w:numId w:val="19"/>
              </w:numPr>
              <w:spacing w:after="0"/>
              <w:ind w:left="248" w:hanging="283"/>
              <w:rPr>
                <w:rFonts w:ascii="Calibri" w:hAnsi="Calibri" w:cs="Calibri"/>
                <w:b w:val="0"/>
                <w:sz w:val="22"/>
              </w:rPr>
            </w:pPr>
            <w:r w:rsidRPr="00B710D8">
              <w:rPr>
                <w:rFonts w:ascii="Calibri" w:hAnsi="Calibri" w:cs="Calibri"/>
                <w:b w:val="0"/>
                <w:sz w:val="22"/>
              </w:rPr>
              <w:t xml:space="preserve">Prohibit ‘unmanageable’ pesticides </w:t>
            </w:r>
          </w:p>
          <w:p w:rsidR="007D636E" w:rsidRPr="00B710D8" w:rsidRDefault="007D636E" w:rsidP="00483EAE">
            <w:pPr>
              <w:pStyle w:val="ListParagraph"/>
              <w:numPr>
                <w:ilvl w:val="0"/>
                <w:numId w:val="22"/>
              </w:numPr>
              <w:spacing w:after="0"/>
              <w:ind w:left="248" w:hanging="283"/>
              <w:rPr>
                <w:rFonts w:ascii="Calibri" w:hAnsi="Calibri" w:cs="Calibri"/>
                <w:b w:val="0"/>
                <w:sz w:val="22"/>
              </w:rPr>
            </w:pPr>
            <w:r w:rsidRPr="00B710D8">
              <w:rPr>
                <w:rFonts w:ascii="Calibri" w:hAnsi="Calibri" w:cs="Calibri"/>
                <w:b w:val="0"/>
                <w:sz w:val="22"/>
              </w:rPr>
              <w:t>Legislate re-registration priorities based on risk – not age, etc</w:t>
            </w:r>
          </w:p>
          <w:p w:rsidR="007D636E" w:rsidRPr="00B710D8" w:rsidRDefault="007D636E" w:rsidP="00B57C91">
            <w:pPr>
              <w:spacing w:after="0"/>
              <w:ind w:left="248" w:hanging="283"/>
              <w:rPr>
                <w:rFonts w:ascii="Calibri" w:hAnsi="Calibri" w:cs="Calibri"/>
                <w:b w:val="0"/>
                <w:sz w:val="22"/>
              </w:rPr>
            </w:pPr>
          </w:p>
        </w:tc>
      </w:tr>
      <w:tr w:rsidR="007D636E" w:rsidRPr="00B710D8" w:rsidTr="00483EAE">
        <w:tc>
          <w:tcPr>
            <w:tcW w:w="3261" w:type="dxa"/>
          </w:tcPr>
          <w:p w:rsidR="007D636E" w:rsidRPr="00B710D8" w:rsidRDefault="007D636E" w:rsidP="00483EAE">
            <w:pPr>
              <w:pStyle w:val="ListParagraph"/>
              <w:numPr>
                <w:ilvl w:val="0"/>
                <w:numId w:val="14"/>
              </w:numPr>
              <w:spacing w:after="0"/>
              <w:ind w:left="213" w:hanging="213"/>
              <w:rPr>
                <w:rFonts w:ascii="Calibri" w:hAnsi="Calibri" w:cs="Calibri"/>
                <w:b w:val="0"/>
                <w:sz w:val="22"/>
              </w:rPr>
            </w:pPr>
            <w:r w:rsidRPr="00B710D8">
              <w:rPr>
                <w:rFonts w:ascii="Calibri" w:hAnsi="Calibri" w:cs="Calibri"/>
                <w:b w:val="0"/>
                <w:sz w:val="22"/>
              </w:rPr>
              <w:t xml:space="preserve">Boost funding by 2016, with greater cost recovery </w:t>
            </w:r>
          </w:p>
        </w:tc>
        <w:tc>
          <w:tcPr>
            <w:tcW w:w="4395" w:type="dxa"/>
          </w:tcPr>
          <w:p w:rsidR="007D636E" w:rsidRPr="00B710D8" w:rsidRDefault="007D636E" w:rsidP="00483EAE">
            <w:pPr>
              <w:pStyle w:val="ListParagraph"/>
              <w:numPr>
                <w:ilvl w:val="0"/>
                <w:numId w:val="11"/>
              </w:numPr>
              <w:spacing w:after="0"/>
              <w:ind w:left="389" w:hanging="389"/>
              <w:rPr>
                <w:rFonts w:ascii="Calibri" w:hAnsi="Calibri" w:cs="Calibri"/>
                <w:sz w:val="22"/>
              </w:rPr>
            </w:pPr>
            <w:r w:rsidRPr="00B710D8">
              <w:rPr>
                <w:rFonts w:ascii="Calibri" w:hAnsi="Calibri" w:cs="Calibri"/>
                <w:b w:val="0"/>
                <w:sz w:val="22"/>
              </w:rPr>
              <w:t>Insufficient funds to clear backlog</w:t>
            </w:r>
          </w:p>
          <w:p w:rsidR="007D636E" w:rsidRPr="00B710D8" w:rsidRDefault="007D636E" w:rsidP="00483EAE">
            <w:pPr>
              <w:pStyle w:val="ListParagraph"/>
              <w:numPr>
                <w:ilvl w:val="0"/>
                <w:numId w:val="11"/>
              </w:numPr>
              <w:spacing w:after="0"/>
              <w:ind w:left="389" w:hanging="389"/>
              <w:rPr>
                <w:rFonts w:ascii="Calibri" w:hAnsi="Calibri" w:cs="Calibri"/>
                <w:b w:val="0"/>
                <w:sz w:val="22"/>
              </w:rPr>
            </w:pPr>
            <w:r w:rsidRPr="00B710D8">
              <w:rPr>
                <w:rFonts w:ascii="Calibri" w:hAnsi="Calibri" w:cs="Calibri"/>
                <w:b w:val="0"/>
                <w:sz w:val="22"/>
              </w:rPr>
              <w:t>Big backlog, no new funds, 6 staff !</w:t>
            </w:r>
          </w:p>
          <w:p w:rsidR="007D636E" w:rsidRPr="00B710D8" w:rsidRDefault="007D636E" w:rsidP="00B57C91">
            <w:pPr>
              <w:spacing w:after="0"/>
              <w:rPr>
                <w:rFonts w:ascii="Calibri" w:hAnsi="Calibri" w:cs="Calibri"/>
                <w:sz w:val="22"/>
              </w:rPr>
            </w:pPr>
          </w:p>
        </w:tc>
        <w:tc>
          <w:tcPr>
            <w:tcW w:w="7087" w:type="dxa"/>
          </w:tcPr>
          <w:p w:rsidR="007D636E" w:rsidRPr="00B710D8" w:rsidRDefault="007D636E" w:rsidP="00483EAE">
            <w:pPr>
              <w:pStyle w:val="ListParagraph"/>
              <w:numPr>
                <w:ilvl w:val="0"/>
                <w:numId w:val="19"/>
              </w:numPr>
              <w:spacing w:after="0"/>
              <w:ind w:left="248" w:hanging="283"/>
              <w:rPr>
                <w:rFonts w:ascii="Calibri" w:hAnsi="Calibri" w:cs="Calibri"/>
                <w:b w:val="0"/>
                <w:sz w:val="22"/>
              </w:rPr>
            </w:pPr>
            <w:r w:rsidRPr="00B710D8">
              <w:rPr>
                <w:rFonts w:ascii="Calibri" w:hAnsi="Calibri" w:cs="Calibri"/>
                <w:b w:val="0"/>
                <w:sz w:val="22"/>
              </w:rPr>
              <w:t>Re-allocate $15m over 5yrs to APVMA review team to clear backlog</w:t>
            </w:r>
          </w:p>
          <w:p w:rsidR="007D636E" w:rsidRPr="00B710D8" w:rsidRDefault="007D636E" w:rsidP="00483EAE">
            <w:pPr>
              <w:pStyle w:val="ListParagraph"/>
              <w:numPr>
                <w:ilvl w:val="0"/>
                <w:numId w:val="19"/>
              </w:numPr>
              <w:spacing w:after="0"/>
              <w:ind w:left="248" w:hanging="283"/>
              <w:rPr>
                <w:rFonts w:ascii="Calibri" w:hAnsi="Calibri" w:cs="Calibri"/>
                <w:b w:val="0"/>
                <w:sz w:val="22"/>
              </w:rPr>
            </w:pPr>
            <w:r w:rsidRPr="00B710D8">
              <w:rPr>
                <w:rFonts w:ascii="Calibri" w:hAnsi="Calibri" w:cs="Calibri"/>
                <w:b w:val="0"/>
                <w:sz w:val="22"/>
              </w:rPr>
              <w:t>Charge fees based on risk, not volume</w:t>
            </w:r>
          </w:p>
          <w:p w:rsidR="007D636E" w:rsidRPr="00B710D8" w:rsidRDefault="007D636E" w:rsidP="00B57C91">
            <w:pPr>
              <w:spacing w:after="0"/>
              <w:ind w:left="248" w:hanging="283"/>
              <w:rPr>
                <w:rFonts w:ascii="Calibri" w:hAnsi="Calibri" w:cs="Calibri"/>
                <w:b w:val="0"/>
                <w:sz w:val="22"/>
              </w:rPr>
            </w:pPr>
          </w:p>
        </w:tc>
      </w:tr>
      <w:tr w:rsidR="007D636E" w:rsidRPr="00B710D8" w:rsidTr="00483EAE">
        <w:tc>
          <w:tcPr>
            <w:tcW w:w="3261" w:type="dxa"/>
          </w:tcPr>
          <w:p w:rsidR="007D636E" w:rsidRPr="00B710D8" w:rsidRDefault="007D636E" w:rsidP="00483EAE">
            <w:pPr>
              <w:pStyle w:val="ListParagraph"/>
              <w:numPr>
                <w:ilvl w:val="0"/>
                <w:numId w:val="15"/>
              </w:numPr>
              <w:spacing w:after="0"/>
              <w:ind w:left="213" w:hanging="213"/>
              <w:rPr>
                <w:rFonts w:ascii="Calibri" w:hAnsi="Calibri" w:cs="Calibri"/>
                <w:b w:val="0"/>
                <w:sz w:val="22"/>
              </w:rPr>
            </w:pPr>
            <w:r w:rsidRPr="00B710D8">
              <w:rPr>
                <w:rFonts w:ascii="Calibri" w:hAnsi="Calibri" w:cs="Calibri"/>
                <w:b w:val="0"/>
                <w:sz w:val="22"/>
              </w:rPr>
              <w:t>Establish Ind. Science Panel</w:t>
            </w:r>
          </w:p>
        </w:tc>
        <w:tc>
          <w:tcPr>
            <w:tcW w:w="4395" w:type="dxa"/>
          </w:tcPr>
          <w:p w:rsidR="007D636E" w:rsidRPr="00B710D8" w:rsidRDefault="007D636E" w:rsidP="00483EAE">
            <w:pPr>
              <w:pStyle w:val="ListParagraph"/>
              <w:numPr>
                <w:ilvl w:val="0"/>
                <w:numId w:val="23"/>
              </w:numPr>
              <w:spacing w:after="0"/>
              <w:ind w:left="318"/>
              <w:rPr>
                <w:rFonts w:ascii="Calibri" w:hAnsi="Calibri" w:cs="Calibri"/>
                <w:b w:val="0"/>
                <w:sz w:val="22"/>
              </w:rPr>
            </w:pPr>
            <w:r w:rsidRPr="00B710D8">
              <w:rPr>
                <w:rFonts w:ascii="Calibri" w:hAnsi="Calibri" w:cs="Calibri"/>
                <w:b w:val="0"/>
                <w:sz w:val="22"/>
              </w:rPr>
              <w:t>Some promise, low on detail</w:t>
            </w:r>
          </w:p>
        </w:tc>
        <w:tc>
          <w:tcPr>
            <w:tcW w:w="7087" w:type="dxa"/>
          </w:tcPr>
          <w:p w:rsidR="007D636E" w:rsidRPr="00B710D8" w:rsidRDefault="007D636E" w:rsidP="00483EAE">
            <w:pPr>
              <w:pStyle w:val="ListParagraph"/>
              <w:numPr>
                <w:ilvl w:val="0"/>
                <w:numId w:val="19"/>
              </w:numPr>
              <w:spacing w:after="0"/>
              <w:ind w:left="248" w:hanging="283"/>
              <w:rPr>
                <w:rFonts w:ascii="Calibri" w:hAnsi="Calibri" w:cs="Calibri"/>
                <w:b w:val="0"/>
                <w:sz w:val="22"/>
              </w:rPr>
            </w:pPr>
            <w:r>
              <w:rPr>
                <w:rFonts w:ascii="Calibri" w:hAnsi="Calibri" w:cs="Calibri"/>
                <w:b w:val="0"/>
                <w:sz w:val="22"/>
              </w:rPr>
              <w:t>Keen to advise more on this</w:t>
            </w:r>
            <w:r w:rsidRPr="00B710D8">
              <w:rPr>
                <w:rFonts w:ascii="Calibri" w:hAnsi="Calibri" w:cs="Calibri"/>
                <w:b w:val="0"/>
                <w:sz w:val="22"/>
              </w:rPr>
              <w:br/>
            </w:r>
          </w:p>
        </w:tc>
      </w:tr>
    </w:tbl>
    <w:p w:rsidR="007D636E" w:rsidRDefault="007D636E" w:rsidP="00BF5B7E"/>
    <w:sectPr w:rsidR="007D636E" w:rsidSect="000353ED">
      <w:pgSz w:w="15840" w:h="12240" w:orient="landscape"/>
      <w:pgMar w:top="851" w:right="1134" w:bottom="567" w:left="851" w:header="709" w:footer="709" w:gutter="0"/>
      <w:cols w:space="708"/>
      <w:docGrid w:linePitch="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36E" w:rsidRDefault="007D636E">
      <w:r>
        <w:separator/>
      </w:r>
    </w:p>
  </w:endnote>
  <w:endnote w:type="continuationSeparator" w:id="0">
    <w:p w:rsidR="007D636E" w:rsidRDefault="007D63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36E" w:rsidRDefault="007D636E">
      <w:r>
        <w:separator/>
      </w:r>
    </w:p>
  </w:footnote>
  <w:footnote w:type="continuationSeparator" w:id="0">
    <w:p w:rsidR="007D636E" w:rsidRDefault="007D636E">
      <w:r>
        <w:continuationSeparator/>
      </w:r>
    </w:p>
  </w:footnote>
  <w:footnote w:id="1">
    <w:p w:rsidR="007D636E" w:rsidRDefault="007D636E" w:rsidP="00BF5B7E">
      <w:pPr>
        <w:pStyle w:val="FootnoteText"/>
      </w:pPr>
      <w:r w:rsidRPr="00B824E7">
        <w:rPr>
          <w:rStyle w:val="FootnoteReference"/>
          <w:b w:val="0"/>
          <w:sz w:val="16"/>
        </w:rPr>
        <w:footnoteRef/>
      </w:r>
      <w:r w:rsidRPr="00B824E7">
        <w:rPr>
          <w:b w:val="0"/>
          <w:sz w:val="16"/>
        </w:rPr>
        <w:t xml:space="preserve"> ALP election commitment “Better Regulation of Chemicals’ Tony Burke, 14 August 2010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59CA"/>
    <w:multiLevelType w:val="hybridMultilevel"/>
    <w:tmpl w:val="D08C3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05BBC"/>
    <w:multiLevelType w:val="hybridMultilevel"/>
    <w:tmpl w:val="135C0FC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5147EF5"/>
    <w:multiLevelType w:val="hybridMultilevel"/>
    <w:tmpl w:val="D1309D74"/>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959E0"/>
    <w:multiLevelType w:val="hybridMultilevel"/>
    <w:tmpl w:val="7FD6B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FAE41CD"/>
    <w:multiLevelType w:val="hybridMultilevel"/>
    <w:tmpl w:val="42F8A672"/>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0A7037"/>
    <w:multiLevelType w:val="hybridMultilevel"/>
    <w:tmpl w:val="70FE4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CA0DEB"/>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25CE00D7"/>
    <w:multiLevelType w:val="hybridMultilevel"/>
    <w:tmpl w:val="D1147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1C61E7"/>
    <w:multiLevelType w:val="hybridMultilevel"/>
    <w:tmpl w:val="B4C6C7E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83B1833"/>
    <w:multiLevelType w:val="hybridMultilevel"/>
    <w:tmpl w:val="47FC0EE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E14786C"/>
    <w:multiLevelType w:val="hybridMultilevel"/>
    <w:tmpl w:val="C9262B9C"/>
    <w:lvl w:ilvl="0" w:tplc="122094EC">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FF33FC1"/>
    <w:multiLevelType w:val="hybridMultilevel"/>
    <w:tmpl w:val="ECAAF4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08D5836"/>
    <w:multiLevelType w:val="hybridMultilevel"/>
    <w:tmpl w:val="BA0CD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2D55E6A"/>
    <w:multiLevelType w:val="hybridMultilevel"/>
    <w:tmpl w:val="92262C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62F6C2F"/>
    <w:multiLevelType w:val="hybridMultilevel"/>
    <w:tmpl w:val="4E9C25B8"/>
    <w:lvl w:ilvl="0" w:tplc="122094EC">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831778D"/>
    <w:multiLevelType w:val="hybridMultilevel"/>
    <w:tmpl w:val="7BD066A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8451BF1"/>
    <w:multiLevelType w:val="hybridMultilevel"/>
    <w:tmpl w:val="63483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1E7142F"/>
    <w:multiLevelType w:val="hybridMultilevel"/>
    <w:tmpl w:val="1C10F1FE"/>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5036BB"/>
    <w:multiLevelType w:val="hybridMultilevel"/>
    <w:tmpl w:val="B15C88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1C14234"/>
    <w:multiLevelType w:val="hybridMultilevel"/>
    <w:tmpl w:val="0D9A2C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5812AF2"/>
    <w:multiLevelType w:val="hybridMultilevel"/>
    <w:tmpl w:val="1D0EE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C7A1AD0"/>
    <w:multiLevelType w:val="hybridMultilevel"/>
    <w:tmpl w:val="A9D606A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2">
    <w:nsid w:val="7D56176B"/>
    <w:multiLevelType w:val="hybridMultilevel"/>
    <w:tmpl w:val="DF881A2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6"/>
  </w:num>
  <w:num w:numId="4">
    <w:abstractNumId w:val="5"/>
  </w:num>
  <w:num w:numId="5">
    <w:abstractNumId w:val="0"/>
  </w:num>
  <w:num w:numId="6">
    <w:abstractNumId w:val="17"/>
  </w:num>
  <w:num w:numId="7">
    <w:abstractNumId w:val="7"/>
  </w:num>
  <w:num w:numId="8">
    <w:abstractNumId w:val="18"/>
  </w:num>
  <w:num w:numId="9">
    <w:abstractNumId w:val="16"/>
  </w:num>
  <w:num w:numId="10">
    <w:abstractNumId w:val="2"/>
  </w:num>
  <w:num w:numId="11">
    <w:abstractNumId w:val="14"/>
  </w:num>
  <w:num w:numId="12">
    <w:abstractNumId w:val="12"/>
  </w:num>
  <w:num w:numId="13">
    <w:abstractNumId w:val="20"/>
  </w:num>
  <w:num w:numId="14">
    <w:abstractNumId w:val="13"/>
  </w:num>
  <w:num w:numId="15">
    <w:abstractNumId w:val="3"/>
  </w:num>
  <w:num w:numId="16">
    <w:abstractNumId w:val="22"/>
  </w:num>
  <w:num w:numId="17">
    <w:abstractNumId w:val="10"/>
  </w:num>
  <w:num w:numId="18">
    <w:abstractNumId w:val="1"/>
  </w:num>
  <w:num w:numId="19">
    <w:abstractNumId w:val="11"/>
  </w:num>
  <w:num w:numId="20">
    <w:abstractNumId w:val="15"/>
  </w:num>
  <w:num w:numId="21">
    <w:abstractNumId w:val="19"/>
  </w:num>
  <w:num w:numId="22">
    <w:abstractNumId w:val="21"/>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2263"/>
    <w:rsid w:val="0001023F"/>
    <w:rsid w:val="000170B1"/>
    <w:rsid w:val="000353ED"/>
    <w:rsid w:val="00046A60"/>
    <w:rsid w:val="000B4A30"/>
    <w:rsid w:val="00134D0C"/>
    <w:rsid w:val="001519A1"/>
    <w:rsid w:val="001A1A17"/>
    <w:rsid w:val="001A7CD2"/>
    <w:rsid w:val="001D4ACB"/>
    <w:rsid w:val="001D585E"/>
    <w:rsid w:val="00265C55"/>
    <w:rsid w:val="00407356"/>
    <w:rsid w:val="00424011"/>
    <w:rsid w:val="00483EAE"/>
    <w:rsid w:val="004C5ADE"/>
    <w:rsid w:val="00527A8A"/>
    <w:rsid w:val="005C37FC"/>
    <w:rsid w:val="005D128D"/>
    <w:rsid w:val="006A7A85"/>
    <w:rsid w:val="006C3095"/>
    <w:rsid w:val="00763821"/>
    <w:rsid w:val="00782D69"/>
    <w:rsid w:val="007D636E"/>
    <w:rsid w:val="008160D4"/>
    <w:rsid w:val="00834A65"/>
    <w:rsid w:val="008F3CA5"/>
    <w:rsid w:val="0092291D"/>
    <w:rsid w:val="00946C1A"/>
    <w:rsid w:val="009D6046"/>
    <w:rsid w:val="009E04D5"/>
    <w:rsid w:val="00AB6B44"/>
    <w:rsid w:val="00B015B2"/>
    <w:rsid w:val="00B274EA"/>
    <w:rsid w:val="00B57C91"/>
    <w:rsid w:val="00B710D8"/>
    <w:rsid w:val="00B73C49"/>
    <w:rsid w:val="00B824E7"/>
    <w:rsid w:val="00BC768F"/>
    <w:rsid w:val="00BF5B7E"/>
    <w:rsid w:val="00D360BF"/>
    <w:rsid w:val="00D62F7E"/>
    <w:rsid w:val="00DA0A1D"/>
    <w:rsid w:val="00E32263"/>
    <w:rsid w:val="00E82E22"/>
    <w:rsid w:val="00F15604"/>
    <w:rsid w:val="00F3487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Street"/>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rPr>
      <w:rFonts w:ascii="Arial Rounded MT Bold" w:hAnsi="Arial Rounded MT Bold"/>
      <w:b/>
      <w:sz w:val="24"/>
      <w:szCs w:val="24"/>
      <w:lang w:val="en-A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A0A1D"/>
    <w:pPr>
      <w:ind w:left="720"/>
      <w:contextualSpacing/>
    </w:pPr>
  </w:style>
  <w:style w:type="paragraph" w:styleId="BalloonText">
    <w:name w:val="Balloon Text"/>
    <w:basedOn w:val="Normal"/>
    <w:link w:val="BalloonTextChar"/>
    <w:uiPriority w:val="99"/>
    <w:semiHidden/>
    <w:rsid w:val="008160D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60D4"/>
    <w:rPr>
      <w:rFonts w:ascii="Tahoma" w:hAnsi="Tahoma" w:cs="Tahoma"/>
      <w:b/>
      <w:sz w:val="16"/>
      <w:szCs w:val="16"/>
    </w:rPr>
  </w:style>
  <w:style w:type="table" w:styleId="TableGrid">
    <w:name w:val="Table Grid"/>
    <w:basedOn w:val="TableNormal"/>
    <w:uiPriority w:val="99"/>
    <w:rsid w:val="008160D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BF5B7E"/>
    <w:rPr>
      <w:rFonts w:cs="Times New Roman"/>
      <w:color w:val="0000FF"/>
      <w:u w:val="single"/>
    </w:rPr>
  </w:style>
  <w:style w:type="paragraph" w:styleId="FootnoteText">
    <w:name w:val="footnote text"/>
    <w:basedOn w:val="Normal"/>
    <w:link w:val="FootnoteTextChar"/>
    <w:uiPriority w:val="99"/>
    <w:semiHidden/>
    <w:rsid w:val="00BF5B7E"/>
    <w:pPr>
      <w:spacing w:after="0"/>
    </w:pPr>
    <w:rPr>
      <w:rFonts w:cs="Times New Roman"/>
    </w:rPr>
  </w:style>
  <w:style w:type="character" w:customStyle="1" w:styleId="FootnoteTextChar">
    <w:name w:val="Footnote Text Char"/>
    <w:basedOn w:val="DefaultParagraphFont"/>
    <w:link w:val="FootnoteText"/>
    <w:uiPriority w:val="99"/>
    <w:semiHidden/>
    <w:locked/>
    <w:rsid w:val="00BF5B7E"/>
    <w:rPr>
      <w:rFonts w:ascii="Arial Rounded MT Bold" w:hAnsi="Arial Rounded MT Bold" w:cs="Times New Roman"/>
      <w:b/>
      <w:sz w:val="24"/>
      <w:szCs w:val="24"/>
      <w:lang w:val="en-AU" w:eastAsia="en-US" w:bidi="ar-SA"/>
    </w:rPr>
  </w:style>
  <w:style w:type="character" w:styleId="FootnoteReference">
    <w:name w:val="footnote reference"/>
    <w:basedOn w:val="DefaultParagraphFont"/>
    <w:uiPriority w:val="99"/>
    <w:semiHidden/>
    <w:rsid w:val="00BF5B7E"/>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agvetreform@daff.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3</Pages>
  <Words>847</Words>
  <Characters>4832</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immig -</dc:creator>
  <cp:keywords/>
  <dc:description/>
  <cp:lastModifiedBy>nheath</cp:lastModifiedBy>
  <cp:revision>11</cp:revision>
  <dcterms:created xsi:type="dcterms:W3CDTF">2012-02-29T03:41:00Z</dcterms:created>
  <dcterms:modified xsi:type="dcterms:W3CDTF">2012-02-29T03:58:00Z</dcterms:modified>
</cp:coreProperties>
</file>